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009D3F78">
        <w:rPr>
          <w:sz w:val="24"/>
          <w:szCs w:val="24"/>
        </w:rPr>
        <w:t xml:space="preserve">COMPLEMENTAR </w:t>
      </w:r>
      <w:r w:rsidRPr="00137501">
        <w:rPr>
          <w:sz w:val="24"/>
          <w:szCs w:val="24"/>
        </w:rPr>
        <w:t>N.</w:t>
      </w:r>
      <w:r w:rsidR="001B6D9D">
        <w:rPr>
          <w:sz w:val="24"/>
          <w:szCs w:val="24"/>
        </w:rPr>
        <w:t xml:space="preserve"> 794</w:t>
      </w:r>
      <w:r w:rsidRPr="00137501">
        <w:rPr>
          <w:sz w:val="24"/>
          <w:szCs w:val="24"/>
        </w:rPr>
        <w:t>, DE</w:t>
      </w:r>
      <w:r w:rsidR="001B6D9D">
        <w:rPr>
          <w:sz w:val="24"/>
          <w:szCs w:val="24"/>
        </w:rPr>
        <w:t xml:space="preserve"> </w:t>
      </w:r>
      <w:proofErr w:type="gramStart"/>
      <w:r w:rsidR="001B6D9D">
        <w:rPr>
          <w:sz w:val="24"/>
          <w:szCs w:val="24"/>
        </w:rPr>
        <w:t>9</w:t>
      </w:r>
      <w:proofErr w:type="gramEnd"/>
      <w:r w:rsidR="001B6D9D">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BD50CF" w:rsidRPr="00BD50CF" w:rsidRDefault="009D3F78" w:rsidP="00BD50CF">
      <w:pPr>
        <w:ind w:left="5103"/>
        <w:jc w:val="both"/>
      </w:pPr>
      <w:r w:rsidRPr="004734B8">
        <w:t>Altera dispositivos da Lei Complementar n</w:t>
      </w:r>
      <w:r>
        <w:t>.</w:t>
      </w:r>
      <w:r w:rsidRPr="004734B8">
        <w:t xml:space="preserve"> 68, de </w:t>
      </w:r>
      <w:proofErr w:type="gramStart"/>
      <w:r w:rsidRPr="004734B8">
        <w:t>9</w:t>
      </w:r>
      <w:proofErr w:type="gramEnd"/>
      <w:r w:rsidRPr="004734B8">
        <w:t xml:space="preserve"> de dezembro de 1992 e dá outras providências</w:t>
      </w:r>
      <w:r w:rsidR="00ED6E0A" w:rsidRPr="00ED6E0A">
        <w:t>.</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bookmarkStart w:id="0" w:name="_GoBack"/>
      <w:bookmarkEnd w:id="0"/>
    </w:p>
    <w:p w:rsidR="00217C87" w:rsidRDefault="003208AF" w:rsidP="003208AF">
      <w:pPr>
        <w:ind w:firstLine="567"/>
        <w:jc w:val="both"/>
      </w:pPr>
      <w:r w:rsidRPr="0046356F">
        <w:t>Faço saber que a Assembleia Legislativa decr</w:t>
      </w:r>
      <w:r w:rsidR="0021773A">
        <w:t>eta e eu sanciono a seguinte Lei</w:t>
      </w:r>
      <w:r w:rsidR="009D3F78">
        <w:t xml:space="preserve"> Complementar</w:t>
      </w:r>
      <w:r w:rsidRPr="0046356F">
        <w:t>:</w:t>
      </w:r>
    </w:p>
    <w:p w:rsidR="003208AF" w:rsidRDefault="003208AF" w:rsidP="003208AF">
      <w:pPr>
        <w:ind w:firstLine="567"/>
        <w:jc w:val="both"/>
        <w:rPr>
          <w:bCs/>
          <w:color w:val="000000"/>
        </w:rPr>
      </w:pPr>
    </w:p>
    <w:p w:rsidR="009D3F78" w:rsidRPr="004734B8" w:rsidRDefault="009D3F78" w:rsidP="009D3F78">
      <w:pPr>
        <w:ind w:firstLine="600"/>
        <w:jc w:val="both"/>
        <w:rPr>
          <w:bCs/>
        </w:rPr>
      </w:pPr>
      <w:r w:rsidRPr="004734B8">
        <w:rPr>
          <w:bCs/>
        </w:rPr>
        <w:t xml:space="preserve">Art. 1º. O artigo 50, da Lei Complementar nº 68, de </w:t>
      </w:r>
      <w:proofErr w:type="gramStart"/>
      <w:r w:rsidRPr="004734B8">
        <w:rPr>
          <w:bCs/>
        </w:rPr>
        <w:t>9</w:t>
      </w:r>
      <w:proofErr w:type="gramEnd"/>
      <w:r w:rsidRPr="004734B8">
        <w:rPr>
          <w:bCs/>
        </w:rPr>
        <w:t xml:space="preserve"> de dezembro de 1992, que “Dispõe sobre o Regime Jurídico dos Servidores Públicos Civis do Estado de Rondônia, das Autarquias e das Fundações Públicas Estaduais e dá outras providências”, passa a vigorar com a seguinte redação:</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“Art. 50. Não haverá remoção de servidores em estágio probatório, ressalvados os casos previstos na alínea ‘b’ do inciso II, e no inciso III, do artigo 49.”</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xml:space="preserve">Art. 2°. Os artigos 14, 50 e 53, todos da Lei Complementar nº 68, de </w:t>
      </w:r>
      <w:proofErr w:type="gramStart"/>
      <w:r w:rsidRPr="004734B8">
        <w:rPr>
          <w:bCs/>
        </w:rPr>
        <w:t>9</w:t>
      </w:r>
      <w:proofErr w:type="gramEnd"/>
      <w:r w:rsidRPr="004734B8">
        <w:rPr>
          <w:bCs/>
        </w:rPr>
        <w:t xml:space="preserve"> de dezembro de 1992, passam a vigorar acrescidos pelos dispositivos com a seguinte redação:</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“Art. 14</w:t>
      </w:r>
      <w:proofErr w:type="gramStart"/>
      <w:r w:rsidRPr="004734B8">
        <w:rPr>
          <w:bCs/>
        </w:rPr>
        <w:t>. ...</w:t>
      </w:r>
      <w:proofErr w:type="gramEnd"/>
      <w:r w:rsidRPr="004734B8">
        <w:rPr>
          <w:bCs/>
        </w:rPr>
        <w:t>..................................................................................</w:t>
      </w:r>
      <w:r w:rsidR="00AF161E">
        <w:rPr>
          <w:bCs/>
        </w:rPr>
        <w:t>.........................</w:t>
      </w:r>
      <w:r w:rsidRPr="004734B8">
        <w:rPr>
          <w:bCs/>
        </w:rPr>
        <w:t>..................................</w:t>
      </w:r>
    </w:p>
    <w:p w:rsidR="009D3F78" w:rsidRPr="004734B8" w:rsidRDefault="009D3F78" w:rsidP="009D3F78">
      <w:pPr>
        <w:ind w:firstLine="600"/>
        <w:jc w:val="both"/>
        <w:rPr>
          <w:bCs/>
        </w:rPr>
      </w:pPr>
    </w:p>
    <w:p w:rsidR="009D3F78" w:rsidRPr="004734B8" w:rsidRDefault="009D3F78" w:rsidP="009D3F78">
      <w:pPr>
        <w:ind w:firstLine="600"/>
        <w:jc w:val="both"/>
        <w:rPr>
          <w:bCs/>
        </w:rPr>
      </w:pPr>
      <w:proofErr w:type="gramStart"/>
      <w:r w:rsidRPr="004734B8">
        <w:rPr>
          <w:bCs/>
        </w:rPr>
        <w:t>...................................................................................................</w:t>
      </w:r>
      <w:r w:rsidR="00AF161E">
        <w:rPr>
          <w:bCs/>
        </w:rPr>
        <w:t>.........................</w:t>
      </w:r>
      <w:r w:rsidRPr="004734B8">
        <w:rPr>
          <w:bCs/>
        </w:rPr>
        <w:t>...................................</w:t>
      </w:r>
      <w:proofErr w:type="gramEnd"/>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3°. O edital poderá prever o aproveitamento de aprovados em concurso público para provimento em órgão diverso do Pode Executivo do Estado de Rondônia, para atender ao interesse público, desde que atendidos, cumulativamente, os seguintes requisitos:</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I – inexistência de concurso público válido com candidatos aprovados para os cargos em que se pretende aproveitar;</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xml:space="preserve">II – igual denominação, descrição, </w:t>
      </w:r>
      <w:proofErr w:type="gramStart"/>
      <w:r w:rsidRPr="004734B8">
        <w:rPr>
          <w:bCs/>
        </w:rPr>
        <w:t>atribuições, competências, direitos</w:t>
      </w:r>
      <w:proofErr w:type="gramEnd"/>
      <w:r w:rsidRPr="004734B8">
        <w:rPr>
          <w:bCs/>
        </w:rPr>
        <w:t xml:space="preserve"> e deveres do cargo;</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III – iguais requisitos de habilitação acadêmica e profissional;</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IV – lotação na mesma localidade de opção do edital;</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V – observância à ordem de classificação;</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VI – situação excepcional do órgão requisitante;</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VII – autorização do órgão que elaborou o concurso;</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xml:space="preserve">VIII – remuneração e estrutura de carreiras análogas; </w:t>
      </w:r>
      <w:proofErr w:type="gramStart"/>
      <w:r w:rsidRPr="004734B8">
        <w:rPr>
          <w:bCs/>
        </w:rPr>
        <w:t>e</w:t>
      </w:r>
      <w:proofErr w:type="gramEnd"/>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IX – opção expressa do candidato.</w:t>
      </w:r>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4°. Realizado o aproveitamento do candidato na condição do § 3°, não poderá ocorrer o retorno ou ingresso no cargo ao qual concorreu no concurso público.</w:t>
      </w:r>
    </w:p>
    <w:p w:rsidR="009D3F78" w:rsidRPr="004734B8" w:rsidRDefault="009D3F78" w:rsidP="009D3F78">
      <w:pPr>
        <w:ind w:firstLine="600"/>
        <w:jc w:val="both"/>
        <w:rPr>
          <w:bCs/>
        </w:rPr>
      </w:pPr>
    </w:p>
    <w:p w:rsidR="009D3F78" w:rsidRPr="004734B8" w:rsidRDefault="009D3F78" w:rsidP="009D3F78">
      <w:pPr>
        <w:ind w:firstLine="600"/>
        <w:jc w:val="both"/>
        <w:rPr>
          <w:bCs/>
        </w:rPr>
      </w:pPr>
      <w:proofErr w:type="gramStart"/>
      <w:r w:rsidRPr="004734B8">
        <w:rPr>
          <w:bCs/>
        </w:rPr>
        <w:t>..........................................................................................................</w:t>
      </w:r>
      <w:r w:rsidR="00AF161E">
        <w:rPr>
          <w:bCs/>
        </w:rPr>
        <w:t>........................</w:t>
      </w:r>
      <w:r w:rsidRPr="004734B8">
        <w:rPr>
          <w:bCs/>
        </w:rPr>
        <w:t>..............................</w:t>
      </w:r>
      <w:proofErr w:type="gramEnd"/>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xml:space="preserve">Art. 50. </w:t>
      </w:r>
      <w:proofErr w:type="gramStart"/>
      <w:r w:rsidRPr="004734B8">
        <w:rPr>
          <w:bCs/>
        </w:rPr>
        <w:t>..................................................................................................</w:t>
      </w:r>
      <w:r w:rsidR="00AF161E">
        <w:rPr>
          <w:bCs/>
        </w:rPr>
        <w:t>......................</w:t>
      </w:r>
      <w:r w:rsidRPr="004734B8">
        <w:rPr>
          <w:bCs/>
        </w:rPr>
        <w:t>.........................</w:t>
      </w:r>
      <w:proofErr w:type="gramEnd"/>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xml:space="preserve">Parágrafo único. A remoção dos servidores que compõem o quadro funcional da Secretaria de Estado da Educação - SEDUC, Secretaria de Estado de Justiça - SEJUS, Secretaria de Estado da Segurança, Defesa e Cidadania - SESDEC e Secretaria de Estado da Saúde - SESAU, limitar-se-á ao máximo a 10% (dez por cento) do total de servidores ativos do quadro </w:t>
      </w:r>
      <w:proofErr w:type="spellStart"/>
      <w:r w:rsidRPr="004734B8">
        <w:rPr>
          <w:bCs/>
        </w:rPr>
        <w:t>lotacional</w:t>
      </w:r>
      <w:proofErr w:type="spellEnd"/>
      <w:r w:rsidRPr="004734B8">
        <w:rPr>
          <w:bCs/>
        </w:rPr>
        <w:t>.</w:t>
      </w:r>
    </w:p>
    <w:p w:rsidR="009D3F78" w:rsidRPr="004734B8" w:rsidRDefault="009D3F78" w:rsidP="009D3F78">
      <w:pPr>
        <w:ind w:firstLine="600"/>
        <w:jc w:val="both"/>
        <w:rPr>
          <w:bCs/>
        </w:rPr>
      </w:pPr>
    </w:p>
    <w:p w:rsidR="009D3F78" w:rsidRPr="004734B8" w:rsidRDefault="009D3F78" w:rsidP="009D3F78">
      <w:pPr>
        <w:ind w:firstLine="600"/>
        <w:jc w:val="both"/>
        <w:rPr>
          <w:bCs/>
        </w:rPr>
      </w:pPr>
      <w:proofErr w:type="gramStart"/>
      <w:r w:rsidRPr="004734B8">
        <w:rPr>
          <w:bCs/>
        </w:rPr>
        <w:t>......................................................................................................</w:t>
      </w:r>
      <w:r w:rsidR="00AF161E">
        <w:rPr>
          <w:bCs/>
        </w:rPr>
        <w:t>......................</w:t>
      </w:r>
      <w:r w:rsidRPr="004734B8">
        <w:rPr>
          <w:bCs/>
        </w:rPr>
        <w:t>..................................</w:t>
      </w:r>
      <w:proofErr w:type="gramEnd"/>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xml:space="preserve">Art. 53. </w:t>
      </w:r>
      <w:proofErr w:type="gramStart"/>
      <w:r w:rsidRPr="004734B8">
        <w:rPr>
          <w:bCs/>
        </w:rPr>
        <w:t>.............................................................................................</w:t>
      </w:r>
      <w:r w:rsidR="00AF161E">
        <w:rPr>
          <w:bCs/>
        </w:rPr>
        <w:t>......................</w:t>
      </w:r>
      <w:r w:rsidRPr="004734B8">
        <w:rPr>
          <w:bCs/>
        </w:rPr>
        <w:t>..............................</w:t>
      </w:r>
      <w:proofErr w:type="gramEnd"/>
    </w:p>
    <w:p w:rsidR="009D3F78" w:rsidRPr="004734B8" w:rsidRDefault="009D3F78" w:rsidP="009D3F78">
      <w:pPr>
        <w:ind w:firstLine="600"/>
        <w:jc w:val="both"/>
        <w:rPr>
          <w:bCs/>
        </w:rPr>
      </w:pPr>
    </w:p>
    <w:p w:rsidR="009D3F78" w:rsidRPr="004734B8" w:rsidRDefault="009D3F78" w:rsidP="009D3F78">
      <w:pPr>
        <w:ind w:firstLine="600"/>
        <w:jc w:val="both"/>
        <w:rPr>
          <w:bCs/>
        </w:rPr>
      </w:pPr>
      <w:proofErr w:type="gramStart"/>
      <w:r w:rsidRPr="004734B8">
        <w:rPr>
          <w:bCs/>
        </w:rPr>
        <w:t>..................................................................................................................</w:t>
      </w:r>
      <w:r w:rsidR="00AF161E">
        <w:rPr>
          <w:bCs/>
        </w:rPr>
        <w:t>......................</w:t>
      </w:r>
      <w:r w:rsidRPr="004734B8">
        <w:rPr>
          <w:bCs/>
        </w:rPr>
        <w:t>......................</w:t>
      </w:r>
      <w:proofErr w:type="gramEnd"/>
    </w:p>
    <w:p w:rsidR="009D3F78" w:rsidRPr="004734B8" w:rsidRDefault="009D3F78" w:rsidP="009D3F78">
      <w:pPr>
        <w:ind w:firstLine="600"/>
        <w:jc w:val="both"/>
        <w:rPr>
          <w:bCs/>
        </w:rPr>
      </w:pPr>
    </w:p>
    <w:p w:rsidR="009D3F78" w:rsidRPr="004734B8" w:rsidRDefault="009D3F78" w:rsidP="009D3F78">
      <w:pPr>
        <w:ind w:firstLine="600"/>
        <w:jc w:val="both"/>
        <w:rPr>
          <w:bCs/>
        </w:rPr>
      </w:pPr>
      <w:r w:rsidRPr="004734B8">
        <w:rPr>
          <w:bCs/>
        </w:rPr>
        <w:t xml:space="preserve">§ 4°. A cedência dos servidores que compõem o quadro funcional da SEDUC, SEJUS, SESDEC e SESAU, limitar-se-á ao máximo de 10% (dez por cento) do total de servidores ativos do quadro </w:t>
      </w:r>
      <w:proofErr w:type="spellStart"/>
      <w:r w:rsidRPr="004734B8">
        <w:rPr>
          <w:bCs/>
        </w:rPr>
        <w:t>lotacional</w:t>
      </w:r>
      <w:proofErr w:type="spellEnd"/>
      <w:r w:rsidRPr="004734B8">
        <w:rPr>
          <w:bCs/>
        </w:rPr>
        <w:t>.</w:t>
      </w:r>
      <w:proofErr w:type="gramStart"/>
      <w:r w:rsidRPr="004734B8">
        <w:rPr>
          <w:bCs/>
        </w:rPr>
        <w:t>”</w:t>
      </w:r>
      <w:proofErr w:type="gramEnd"/>
    </w:p>
    <w:p w:rsidR="009D3F78" w:rsidRPr="004734B8" w:rsidRDefault="009D3F78" w:rsidP="009D3F78">
      <w:pPr>
        <w:ind w:firstLine="600"/>
        <w:jc w:val="both"/>
        <w:rPr>
          <w:bCs/>
        </w:rPr>
      </w:pPr>
    </w:p>
    <w:p w:rsidR="00BD50CF" w:rsidRPr="004E048C" w:rsidRDefault="009D3F78" w:rsidP="009D3F78">
      <w:pPr>
        <w:ind w:firstLine="567"/>
        <w:jc w:val="both"/>
      </w:pPr>
      <w:r w:rsidRPr="004734B8">
        <w:rPr>
          <w:bCs/>
        </w:rPr>
        <w:t>Art. 3°. Esta Lei Complementar entra em vigora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1B6D9D">
        <w:t xml:space="preserve"> </w:t>
      </w:r>
      <w:proofErr w:type="gramStart"/>
      <w:r w:rsidR="001B6D9D">
        <w:t>9</w:t>
      </w:r>
      <w:proofErr w:type="gramEnd"/>
      <w:r w:rsidR="001B6D9D">
        <w:t xml:space="preserve">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sectPr w:rsidR="00E20C98"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A5" w:rsidRDefault="00E120A5">
      <w:r>
        <w:separator/>
      </w:r>
    </w:p>
  </w:endnote>
  <w:endnote w:type="continuationSeparator" w:id="0">
    <w:p w:rsidR="00E120A5" w:rsidRDefault="00E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1B6D9D">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A5" w:rsidRDefault="00E120A5">
      <w:r>
        <w:separator/>
      </w:r>
    </w:p>
  </w:footnote>
  <w:footnote w:type="continuationSeparator" w:id="0">
    <w:p w:rsidR="00E120A5" w:rsidRDefault="00E1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1757610"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B4AF7"/>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B6D9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15A"/>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D3F78"/>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AF161E"/>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20A5"/>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772D5"/>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B55F-90CB-41D5-9D91-7735BA0F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9</cp:revision>
  <cp:lastPrinted>2014-09-04T14:31:00Z</cp:lastPrinted>
  <dcterms:created xsi:type="dcterms:W3CDTF">2014-09-04T14:14:00Z</dcterms:created>
  <dcterms:modified xsi:type="dcterms:W3CDTF">2014-09-09T12:47:00Z</dcterms:modified>
</cp:coreProperties>
</file>