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C" w:rsidRDefault="00137501" w:rsidP="00287756">
      <w:pPr>
        <w:pStyle w:val="Ttulo1"/>
        <w:jc w:val="center"/>
        <w:rPr>
          <w:sz w:val="24"/>
          <w:szCs w:val="24"/>
        </w:rPr>
      </w:pPr>
      <w:r w:rsidRPr="009D4100">
        <w:rPr>
          <w:sz w:val="24"/>
          <w:szCs w:val="24"/>
        </w:rPr>
        <w:t xml:space="preserve">LEI </w:t>
      </w:r>
      <w:r w:rsidR="007A4245" w:rsidRPr="009D4100">
        <w:rPr>
          <w:sz w:val="24"/>
          <w:szCs w:val="24"/>
        </w:rPr>
        <w:t xml:space="preserve">COMPLEMENTAR </w:t>
      </w:r>
      <w:r w:rsidRPr="009D4100">
        <w:rPr>
          <w:sz w:val="24"/>
          <w:szCs w:val="24"/>
        </w:rPr>
        <w:t>N.</w:t>
      </w:r>
      <w:r w:rsidR="00BE2F07">
        <w:rPr>
          <w:sz w:val="24"/>
          <w:szCs w:val="24"/>
        </w:rPr>
        <w:t xml:space="preserve"> 787</w:t>
      </w:r>
      <w:r w:rsidRPr="009D4100">
        <w:rPr>
          <w:sz w:val="24"/>
          <w:szCs w:val="24"/>
        </w:rPr>
        <w:t>, DE</w:t>
      </w:r>
      <w:r w:rsidR="00BE2F07">
        <w:rPr>
          <w:sz w:val="24"/>
          <w:szCs w:val="24"/>
        </w:rPr>
        <w:t xml:space="preserve"> 15 </w:t>
      </w:r>
      <w:r w:rsidRPr="009D4100">
        <w:rPr>
          <w:sz w:val="24"/>
          <w:szCs w:val="24"/>
        </w:rPr>
        <w:t>DE</w:t>
      </w:r>
      <w:r w:rsidR="00684C4A" w:rsidRPr="009D4100">
        <w:rPr>
          <w:sz w:val="24"/>
          <w:szCs w:val="24"/>
        </w:rPr>
        <w:t xml:space="preserve"> </w:t>
      </w:r>
      <w:r w:rsidR="00FC55FF">
        <w:rPr>
          <w:sz w:val="24"/>
          <w:szCs w:val="24"/>
        </w:rPr>
        <w:t>JULHO</w:t>
      </w:r>
      <w:r w:rsidR="00684C4A" w:rsidRPr="009D4100">
        <w:rPr>
          <w:sz w:val="24"/>
          <w:szCs w:val="24"/>
        </w:rPr>
        <w:t xml:space="preserve"> </w:t>
      </w:r>
      <w:r w:rsidRPr="009D4100">
        <w:rPr>
          <w:sz w:val="24"/>
          <w:szCs w:val="24"/>
        </w:rPr>
        <w:t>DE 2014.</w:t>
      </w:r>
    </w:p>
    <w:p w:rsidR="00287756" w:rsidRDefault="00287756" w:rsidP="000E64FD">
      <w:pPr>
        <w:suppressAutoHyphens/>
        <w:jc w:val="center"/>
        <w:rPr>
          <w:i/>
        </w:rPr>
      </w:pPr>
    </w:p>
    <w:p w:rsidR="000E64FD" w:rsidRPr="009D4100" w:rsidRDefault="000E64FD" w:rsidP="000E64FD">
      <w:pPr>
        <w:suppressAutoHyphens/>
        <w:jc w:val="center"/>
        <w:rPr>
          <w:i/>
        </w:rPr>
      </w:pPr>
    </w:p>
    <w:p w:rsidR="00E43E0C" w:rsidRPr="009D4100" w:rsidRDefault="004B6728" w:rsidP="00532D93">
      <w:pPr>
        <w:ind w:left="5103"/>
        <w:jc w:val="both"/>
        <w:rPr>
          <w:spacing w:val="8"/>
        </w:rPr>
      </w:pPr>
      <w:r w:rsidRPr="003C5F4E">
        <w:t>Dispõe sobre a criação dos cargos de Assistente de Promotoria de Justiça para compor o Quadro Administrativo do Ministério Público do Estado de Rondônia</w:t>
      </w:r>
      <w:r w:rsidR="001E067B" w:rsidRPr="009D4100">
        <w:t>.</w:t>
      </w:r>
    </w:p>
    <w:p w:rsidR="004B4685" w:rsidRDefault="004B4685" w:rsidP="00E211D6">
      <w:pPr>
        <w:ind w:left="5103"/>
        <w:jc w:val="both"/>
      </w:pPr>
    </w:p>
    <w:p w:rsidR="000E64FD" w:rsidRPr="009D4100" w:rsidRDefault="000E64FD" w:rsidP="00E211D6">
      <w:pPr>
        <w:ind w:left="5103"/>
        <w:jc w:val="both"/>
      </w:pPr>
    </w:p>
    <w:p w:rsidR="003208AF" w:rsidRPr="009D4100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D4100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D4100" w:rsidRDefault="003208AF" w:rsidP="003208AF">
      <w:pPr>
        <w:ind w:firstLine="567"/>
        <w:jc w:val="both"/>
      </w:pPr>
      <w:r w:rsidRPr="009D4100">
        <w:t>Faço saber que a Assembleia Legislativa decreta e eu sanciono a seguinte Lei</w:t>
      </w:r>
      <w:r w:rsidR="001F295A" w:rsidRPr="009D4100">
        <w:t xml:space="preserve"> Complementar</w:t>
      </w:r>
      <w:r w:rsidRPr="009D4100">
        <w:t>:</w:t>
      </w:r>
    </w:p>
    <w:p w:rsidR="003208AF" w:rsidRPr="009D4100" w:rsidRDefault="003208AF" w:rsidP="003208AF">
      <w:pPr>
        <w:ind w:firstLine="567"/>
        <w:jc w:val="both"/>
        <w:rPr>
          <w:bCs/>
          <w:color w:val="000000"/>
        </w:rPr>
      </w:pPr>
    </w:p>
    <w:p w:rsidR="004B6728" w:rsidRPr="003C5F4E" w:rsidRDefault="004B6728" w:rsidP="004B6728">
      <w:pPr>
        <w:pStyle w:val="Standard"/>
        <w:ind w:firstLine="567"/>
        <w:jc w:val="both"/>
        <w:rPr>
          <w:szCs w:val="24"/>
        </w:rPr>
      </w:pPr>
      <w:r w:rsidRPr="003C5F4E">
        <w:rPr>
          <w:rFonts w:ascii="Times New Roman" w:hAnsi="Times New Roman"/>
          <w:szCs w:val="24"/>
        </w:rPr>
        <w:t>Art. 1º. Ficam criados e incorporados ao Quadro Administrativo do Ministério Público do Estado de Rondônia, instituído pela Lei Complementar n</w:t>
      </w:r>
      <w:r>
        <w:rPr>
          <w:rFonts w:ascii="Times New Roman" w:hAnsi="Times New Roman"/>
          <w:szCs w:val="24"/>
        </w:rPr>
        <w:t>.</w:t>
      </w:r>
      <w:r w:rsidRPr="003C5F4E">
        <w:rPr>
          <w:rFonts w:ascii="Times New Roman" w:hAnsi="Times New Roman"/>
          <w:szCs w:val="24"/>
        </w:rPr>
        <w:t xml:space="preserve"> 303, de 26 de julho de 2004, 10 (dez) cargos de Assistente de Promotoria de Justiça, de provimento em comissão, de livre nomeação e exoneração pelo Procurador-Geral de Justiça, integrantes do grupo de Atividades de Direção e Assessoramento Superior, referência MP-DAS-3, distribuídos conforme regulamentação interna.</w:t>
      </w:r>
    </w:p>
    <w:p w:rsidR="004B6728" w:rsidRPr="003C5F4E" w:rsidRDefault="004B6728" w:rsidP="004B6728">
      <w:pPr>
        <w:pStyle w:val="Standard"/>
        <w:ind w:firstLine="1418"/>
        <w:jc w:val="both"/>
        <w:rPr>
          <w:rFonts w:ascii="Times New Roman" w:hAnsi="Times New Roman"/>
          <w:szCs w:val="24"/>
        </w:rPr>
      </w:pPr>
    </w:p>
    <w:p w:rsidR="004B6728" w:rsidRPr="003C5F4E" w:rsidRDefault="004B6728" w:rsidP="004B6728">
      <w:pPr>
        <w:pStyle w:val="Standard"/>
        <w:ind w:firstLine="567"/>
        <w:jc w:val="both"/>
        <w:rPr>
          <w:rFonts w:ascii="Times New Roman" w:hAnsi="Times New Roman"/>
          <w:color w:val="auto"/>
          <w:szCs w:val="24"/>
        </w:rPr>
      </w:pPr>
      <w:r w:rsidRPr="003C5F4E">
        <w:rPr>
          <w:rFonts w:ascii="Times New Roman" w:hAnsi="Times New Roman"/>
          <w:color w:val="auto"/>
          <w:szCs w:val="24"/>
        </w:rPr>
        <w:t>Art. 2º.</w:t>
      </w:r>
      <w:r w:rsidRPr="003C5F4E">
        <w:rPr>
          <w:rFonts w:ascii="Times New Roman" w:hAnsi="Times New Roman"/>
          <w:b/>
          <w:color w:val="auto"/>
          <w:szCs w:val="24"/>
        </w:rPr>
        <w:t xml:space="preserve"> </w:t>
      </w:r>
      <w:r w:rsidRPr="003C5F4E">
        <w:rPr>
          <w:rFonts w:ascii="Times New Roman" w:hAnsi="Times New Roman"/>
          <w:color w:val="auto"/>
          <w:szCs w:val="24"/>
        </w:rPr>
        <w:t xml:space="preserve"> Os cargos de que trata esta Lei, preenchidos por servidores integrantes do Quadro Administrativo ou por ocupantes sem vínculo efetivo com a Administração Pública, visam executar, sob supervisão dos Promotores de Justiça, tarefas relacionadas com as atividades meio e fim do Ministério Público, especificamente na atuação extrajudicial, essenciais à prestação jurisdicional do Estado, que lhes são inerentes no âmbito do Ministério Público do Estado de Rondônia, com descrição, lotação, carga horária, vencimentos e escolaridade previstos na legislação pertinente.</w:t>
      </w:r>
    </w:p>
    <w:p w:rsidR="004B6728" w:rsidRPr="003C5F4E" w:rsidRDefault="004B6728" w:rsidP="004B6728">
      <w:pPr>
        <w:pStyle w:val="Standard"/>
        <w:ind w:firstLine="1418"/>
        <w:jc w:val="both"/>
        <w:rPr>
          <w:rFonts w:ascii="Times New Roman" w:hAnsi="Times New Roman"/>
          <w:szCs w:val="24"/>
        </w:rPr>
      </w:pPr>
    </w:p>
    <w:p w:rsidR="004B6728" w:rsidRPr="003C5F4E" w:rsidRDefault="004B6728" w:rsidP="004B6728">
      <w:pPr>
        <w:pStyle w:val="Standard"/>
        <w:ind w:firstLine="567"/>
        <w:jc w:val="both"/>
        <w:rPr>
          <w:rFonts w:ascii="Times New Roman" w:hAnsi="Times New Roman"/>
          <w:szCs w:val="24"/>
        </w:rPr>
      </w:pPr>
      <w:r w:rsidRPr="003C5F4E">
        <w:rPr>
          <w:rFonts w:ascii="Times New Roman" w:hAnsi="Times New Roman"/>
          <w:szCs w:val="24"/>
        </w:rPr>
        <w:t>Art. 3º.  As despesas resultantes da execução desta Lei correrão à conta das dotações orçamentárias consignadas ao Ministério Público do Estado de Rondônia.</w:t>
      </w:r>
    </w:p>
    <w:p w:rsidR="004B6728" w:rsidRPr="003C5F4E" w:rsidRDefault="004B6728" w:rsidP="004B6728">
      <w:pPr>
        <w:pStyle w:val="Standard"/>
        <w:ind w:firstLine="1418"/>
        <w:jc w:val="both"/>
        <w:rPr>
          <w:rFonts w:ascii="Times New Roman" w:hAnsi="Times New Roman"/>
          <w:szCs w:val="24"/>
        </w:rPr>
      </w:pPr>
    </w:p>
    <w:p w:rsidR="004B6728" w:rsidRPr="003C5F4E" w:rsidRDefault="004B6728" w:rsidP="004B6728">
      <w:pPr>
        <w:pStyle w:val="Standard"/>
        <w:ind w:firstLine="567"/>
        <w:jc w:val="both"/>
        <w:rPr>
          <w:rFonts w:ascii="Times New Roman" w:hAnsi="Times New Roman"/>
          <w:szCs w:val="24"/>
        </w:rPr>
      </w:pPr>
      <w:r w:rsidRPr="003C5F4E">
        <w:rPr>
          <w:rFonts w:ascii="Times New Roman" w:hAnsi="Times New Roman"/>
          <w:szCs w:val="24"/>
        </w:rPr>
        <w:t>Art. 4º.</w:t>
      </w:r>
      <w:r w:rsidRPr="003C5F4E">
        <w:rPr>
          <w:rFonts w:ascii="Times New Roman" w:hAnsi="Times New Roman"/>
          <w:b/>
          <w:szCs w:val="24"/>
        </w:rPr>
        <w:t xml:space="preserve"> </w:t>
      </w:r>
      <w:r w:rsidRPr="003C5F4E">
        <w:rPr>
          <w:rFonts w:ascii="Times New Roman" w:hAnsi="Times New Roman"/>
          <w:szCs w:val="24"/>
        </w:rPr>
        <w:t xml:space="preserve"> Esta Lei Complementar entra em vigor na data de sua publicação.</w:t>
      </w:r>
    </w:p>
    <w:p w:rsidR="007D14E7" w:rsidRPr="009D4100" w:rsidRDefault="007D14E7" w:rsidP="000D6AA1">
      <w:pPr>
        <w:ind w:firstLine="567"/>
        <w:jc w:val="both"/>
      </w:pPr>
    </w:p>
    <w:p w:rsidR="00137501" w:rsidRPr="009D4100" w:rsidRDefault="00137501" w:rsidP="00137501">
      <w:pPr>
        <w:ind w:firstLine="567"/>
        <w:jc w:val="both"/>
      </w:pPr>
      <w:r w:rsidRPr="009D4100">
        <w:t>Palácio do Governo do Estado de Rondônia, em</w:t>
      </w:r>
      <w:r w:rsidR="001736B1">
        <w:t xml:space="preserve"> </w:t>
      </w:r>
      <w:bookmarkStart w:id="0" w:name="_GoBack"/>
      <w:bookmarkEnd w:id="0"/>
      <w:r w:rsidR="003D7D5D">
        <w:t xml:space="preserve">15 </w:t>
      </w:r>
      <w:r w:rsidRPr="009D4100">
        <w:t>de</w:t>
      </w:r>
      <w:r w:rsidR="00684C4A" w:rsidRPr="009D4100">
        <w:t xml:space="preserve"> </w:t>
      </w:r>
      <w:r w:rsidR="00FC55FF">
        <w:t>julho</w:t>
      </w:r>
      <w:r w:rsidR="00684C4A" w:rsidRPr="009D4100">
        <w:t xml:space="preserve"> </w:t>
      </w:r>
      <w:r w:rsidRPr="009D4100">
        <w:t xml:space="preserve">de 2014, 126º da República.  </w:t>
      </w:r>
    </w:p>
    <w:p w:rsidR="00137501" w:rsidRPr="009D4100" w:rsidRDefault="00137501" w:rsidP="00137501">
      <w:pPr>
        <w:ind w:firstLine="567"/>
        <w:jc w:val="both"/>
      </w:pPr>
    </w:p>
    <w:p w:rsidR="00137501" w:rsidRPr="009D4100" w:rsidRDefault="00137501" w:rsidP="00137501">
      <w:pPr>
        <w:spacing w:line="0" w:lineRule="atLeast"/>
      </w:pPr>
      <w:r w:rsidRPr="009D4100">
        <w:tab/>
      </w:r>
    </w:p>
    <w:p w:rsidR="00137501" w:rsidRPr="009D4100" w:rsidRDefault="00137501" w:rsidP="00137501">
      <w:pPr>
        <w:spacing w:line="0" w:lineRule="atLeast"/>
      </w:pP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9D4100">
        <w:rPr>
          <w:b/>
        </w:rPr>
        <w:t>CONFÚCIO AIRES MOURA</w:t>
      </w: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</w:pPr>
      <w:r w:rsidRPr="009D4100">
        <w:t>Governador</w:t>
      </w:r>
    </w:p>
    <w:p w:rsidR="005153AD" w:rsidRPr="009D4100" w:rsidRDefault="005153AD" w:rsidP="005153AD">
      <w:pPr>
        <w:ind w:left="5103"/>
        <w:jc w:val="both"/>
      </w:pPr>
    </w:p>
    <w:p w:rsidR="00FA061F" w:rsidRDefault="00FA061F" w:rsidP="00AF42A4">
      <w:pPr>
        <w:rPr>
          <w:b/>
          <w:bCs/>
        </w:rPr>
      </w:pPr>
    </w:p>
    <w:p w:rsidR="00FC55FF" w:rsidRDefault="00FC55FF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Default="004B6728" w:rsidP="00AF42A4">
      <w:pPr>
        <w:rPr>
          <w:b/>
          <w:bCs/>
        </w:rPr>
      </w:pPr>
    </w:p>
    <w:p w:rsidR="004B6728" w:rsidRPr="004B6728" w:rsidRDefault="004B6728" w:rsidP="004B6728">
      <w:pPr>
        <w:pStyle w:val="Ttulo61"/>
        <w:spacing w:line="200" w:lineRule="atLeast"/>
        <w:jc w:val="center"/>
        <w:rPr>
          <w:sz w:val="28"/>
          <w:szCs w:val="28"/>
        </w:rPr>
      </w:pPr>
      <w:r w:rsidRPr="004B6728">
        <w:rPr>
          <w:sz w:val="28"/>
          <w:szCs w:val="28"/>
        </w:rPr>
        <w:lastRenderedPageBreak/>
        <w:t>Anexo Único</w:t>
      </w:r>
    </w:p>
    <w:p w:rsidR="004B6728" w:rsidRDefault="004B6728" w:rsidP="004B6728">
      <w:pPr>
        <w:pStyle w:val="Standard"/>
        <w:spacing w:line="200" w:lineRule="atLeast"/>
      </w:pPr>
    </w:p>
    <w:p w:rsidR="004B6728" w:rsidRDefault="004B6728" w:rsidP="004B6728">
      <w:pPr>
        <w:pStyle w:val="Standard"/>
        <w:spacing w:line="200" w:lineRule="atLeast"/>
        <w:ind w:firstLine="1417"/>
        <w:jc w:val="center"/>
        <w:rPr>
          <w:rFonts w:ascii="Times New Roman" w:hAnsi="Times New Roman"/>
          <w:b/>
        </w:rPr>
      </w:pPr>
    </w:p>
    <w:p w:rsidR="004B6728" w:rsidRDefault="004B6728" w:rsidP="004B6728">
      <w:pPr>
        <w:pStyle w:val="Standard"/>
        <w:spacing w:line="200" w:lineRule="atLeast"/>
        <w:ind w:firstLine="14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Carga horária: 40 (quarenta) horas semanais</w:t>
      </w:r>
    </w:p>
    <w:tbl>
      <w:tblPr>
        <w:tblW w:w="9504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4"/>
        <w:gridCol w:w="872"/>
        <w:gridCol w:w="1417"/>
        <w:gridCol w:w="1853"/>
        <w:gridCol w:w="3618"/>
      </w:tblGrid>
      <w:tr w:rsidR="004B6728" w:rsidTr="00CC09AD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Ttulo2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Cargos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Ttulo31"/>
              <w:snapToGrid w:val="0"/>
              <w:spacing w:line="200" w:lineRule="atLeast"/>
              <w:ind w:left="-1705" w:right="-70" w:firstLine="1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Ttulo41"/>
              <w:snapToGrid w:val="0"/>
              <w:spacing w:line="200" w:lineRule="atLeast"/>
            </w:pPr>
          </w:p>
          <w:p w:rsidR="004B6728" w:rsidRDefault="004B6728" w:rsidP="00CC09AD">
            <w:pPr>
              <w:pStyle w:val="Ttulo41"/>
              <w:snapToGrid w:val="0"/>
              <w:spacing w:line="200" w:lineRule="atLeast"/>
            </w:pPr>
            <w:r>
              <w:t>Código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ind w:left="-7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B6728" w:rsidRDefault="004B6728" w:rsidP="00CC09AD">
            <w:pPr>
              <w:pStyle w:val="Standard"/>
              <w:snapToGrid w:val="0"/>
              <w:spacing w:line="200" w:lineRule="atLeast"/>
              <w:ind w:left="-7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Vencimento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Ttulo51"/>
              <w:snapToGrid w:val="0"/>
              <w:spacing w:line="200" w:lineRule="atLeast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Escolaridade</w:t>
            </w:r>
          </w:p>
        </w:tc>
      </w:tr>
      <w:tr w:rsidR="004B6728" w:rsidTr="00CC09AD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de Promotoria de Justiça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ind w:left="-1705" w:right="-70" w:firstLine="1417"/>
              <w:jc w:val="center"/>
              <w:rPr>
                <w:rFonts w:ascii="Times New Roman" w:hAnsi="Times New Roman"/>
              </w:rPr>
            </w:pPr>
          </w:p>
          <w:p w:rsidR="004B6728" w:rsidRDefault="004B6728" w:rsidP="00CC09AD">
            <w:pPr>
              <w:pStyle w:val="Standard"/>
              <w:snapToGrid w:val="0"/>
              <w:spacing w:line="200" w:lineRule="atLeast"/>
              <w:ind w:left="-1705" w:right="-70" w:firstLine="14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ind w:left="-960" w:firstLine="960"/>
              <w:jc w:val="right"/>
              <w:rPr>
                <w:rFonts w:ascii="Times New Roman" w:hAnsi="Times New Roman"/>
                <w:color w:val="auto"/>
              </w:rPr>
            </w:pPr>
          </w:p>
          <w:p w:rsidR="004B6728" w:rsidRDefault="004B6728" w:rsidP="00CC09AD">
            <w:pPr>
              <w:pStyle w:val="Standard"/>
              <w:snapToGrid w:val="0"/>
              <w:spacing w:line="200" w:lineRule="atLeast"/>
              <w:ind w:left="-960" w:firstLine="96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MP-DAS-3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ind w:left="-70" w:right="278"/>
              <w:jc w:val="right"/>
              <w:rPr>
                <w:rFonts w:ascii="Times New Roman" w:hAnsi="Times New Roman"/>
                <w:color w:val="auto"/>
              </w:rPr>
            </w:pPr>
          </w:p>
          <w:p w:rsidR="004B6728" w:rsidRDefault="004B6728" w:rsidP="00CC09AD">
            <w:pPr>
              <w:pStyle w:val="Standard"/>
              <w:snapToGrid w:val="0"/>
              <w:spacing w:line="200" w:lineRule="atLeast"/>
              <w:ind w:left="-70" w:right="278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2.914,08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728" w:rsidRDefault="004B6728" w:rsidP="00CC09AD">
            <w:pPr>
              <w:pStyle w:val="Standard"/>
              <w:snapToGrid w:val="0"/>
              <w:spacing w:line="200" w:lineRule="atLeast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3º grau completo. Bacharelado em Direito ou Ciências Jurídicas e Sociais.</w:t>
            </w:r>
          </w:p>
          <w:p w:rsidR="004B6728" w:rsidRDefault="004B6728" w:rsidP="00CC09AD">
            <w:pPr>
              <w:pStyle w:val="Standard"/>
              <w:spacing w:line="200" w:lineRule="atLeast"/>
              <w:ind w:firstLine="39"/>
              <w:jc w:val="center"/>
              <w:rPr>
                <w:rFonts w:ascii="Times New Roman" w:hAnsi="Times New Roman"/>
              </w:rPr>
            </w:pPr>
          </w:p>
        </w:tc>
      </w:tr>
    </w:tbl>
    <w:p w:rsidR="004B6728" w:rsidRDefault="004B6728" w:rsidP="004B6728">
      <w:pPr>
        <w:pStyle w:val="Textbodyindent"/>
        <w:spacing w:line="200" w:lineRule="atLeast"/>
      </w:pPr>
    </w:p>
    <w:p w:rsidR="004B6728" w:rsidRDefault="004B6728" w:rsidP="004B6728">
      <w:pPr>
        <w:pStyle w:val="Standard"/>
        <w:spacing w:line="200" w:lineRule="atLeast"/>
        <w:ind w:firstLine="1417"/>
        <w:rPr>
          <w:rFonts w:ascii="Times New Roman" w:hAnsi="Times New Roman"/>
          <w:b/>
          <w:u w:val="single"/>
        </w:rPr>
      </w:pPr>
    </w:p>
    <w:p w:rsidR="004B6728" w:rsidRDefault="004B6728" w:rsidP="004B6728">
      <w:pPr>
        <w:pStyle w:val="Standard"/>
        <w:spacing w:line="200" w:lineRule="atLeast"/>
        <w:ind w:firstLine="141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Assistente de Promotoria de Justiça:</w:t>
      </w:r>
    </w:p>
    <w:p w:rsidR="004B6728" w:rsidRDefault="004B6728" w:rsidP="004B6728">
      <w:pPr>
        <w:pStyle w:val="Standard"/>
        <w:spacing w:line="200" w:lineRule="atLeast"/>
        <w:ind w:firstLine="1417"/>
        <w:rPr>
          <w:rFonts w:ascii="Times New Roman" w:hAnsi="Times New Roman"/>
          <w:b/>
          <w:u w:val="single"/>
        </w:rPr>
      </w:pPr>
    </w:p>
    <w:p w:rsidR="004B6728" w:rsidRDefault="004B6728" w:rsidP="004B6728">
      <w:pPr>
        <w:pStyle w:val="Standard"/>
        <w:spacing w:line="200" w:lineRule="atLeast"/>
        <w:ind w:firstLine="1417"/>
        <w:rPr>
          <w:rFonts w:ascii="Times New Roman" w:hAnsi="Times New Roman"/>
          <w:b/>
          <w:u w:val="single"/>
        </w:rPr>
      </w:pPr>
    </w:p>
    <w:p w:rsidR="004B6728" w:rsidRDefault="004B6728" w:rsidP="004B6728">
      <w:pPr>
        <w:pStyle w:val="Standard"/>
        <w:spacing w:line="360" w:lineRule="auto"/>
        <w:ind w:firstLine="14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Descrição exemplificativa do cargo: </w:t>
      </w:r>
      <w:r>
        <w:rPr>
          <w:rFonts w:ascii="Times New Roman" w:hAnsi="Times New Roman"/>
          <w:szCs w:val="24"/>
        </w:rPr>
        <w:t>executar, sob supervisão dos Promotores de Justiça, tarefas relacionadas com a atividade-meio e a atividade-fim do Ministério Público, especialmente na atuação extrajudicial, relacionadas ao planejamento, à organização e à execução de tarefas que envolvam a função de suporte técnico e administrativo, através da realização de diligências internas e externas, levantamento de dados para elaboração de relatórios estatísticos, instrução de processos, pesquisa de legislação, doutrina e jurisprudência, relatórios técnicos e informações em processos; elaboração e conferência de cálculos diversos, digitação, revisão, reprodução, expedição e arquivamento de documentos e correspondências, prestação de informações gerais ao público, consulta a banco de dados e outras atividades, elaboração de peças processuais, todas elas sob a supervisão direta dos membros do Ministério Público do Estado de Rondônia.</w:t>
      </w:r>
    </w:p>
    <w:p w:rsidR="004B6728" w:rsidRDefault="004B6728" w:rsidP="004B6728">
      <w:pPr>
        <w:pStyle w:val="Standard"/>
        <w:spacing w:line="360" w:lineRule="auto"/>
        <w:ind w:firstLine="1718"/>
        <w:jc w:val="both"/>
        <w:rPr>
          <w:rFonts w:ascii="Times New Roman" w:hAnsi="Times New Roman"/>
          <w:szCs w:val="24"/>
        </w:rPr>
      </w:pPr>
    </w:p>
    <w:p w:rsidR="004B6728" w:rsidRDefault="004B6728" w:rsidP="00AF42A4">
      <w:pPr>
        <w:rPr>
          <w:b/>
          <w:bCs/>
        </w:rPr>
      </w:pPr>
    </w:p>
    <w:sectPr w:rsidR="004B6728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68" w:rsidRDefault="003E5768">
      <w:r>
        <w:separator/>
      </w:r>
    </w:p>
  </w:endnote>
  <w:endnote w:type="continuationSeparator" w:id="0">
    <w:p w:rsidR="003E5768" w:rsidRDefault="003E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7D5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68" w:rsidRDefault="003E5768">
      <w:r>
        <w:separator/>
      </w:r>
    </w:p>
  </w:footnote>
  <w:footnote w:type="continuationSeparator" w:id="0">
    <w:p w:rsidR="003E5768" w:rsidRDefault="003E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691674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64FD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36B1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295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0356"/>
    <w:rsid w:val="00281795"/>
    <w:rsid w:val="0028490D"/>
    <w:rsid w:val="00286FE9"/>
    <w:rsid w:val="00287756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6362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65429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D7D5D"/>
    <w:rsid w:val="003E3CAF"/>
    <w:rsid w:val="003E5768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B6728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4C4A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97C31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169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D4100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10C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17963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2F07"/>
    <w:rsid w:val="00BE33E7"/>
    <w:rsid w:val="00BE6830"/>
    <w:rsid w:val="00BF255A"/>
    <w:rsid w:val="00BF3449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64FF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3490D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24E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C55FF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FC55FF"/>
    <w:rPr>
      <w:sz w:val="26"/>
    </w:rPr>
  </w:style>
  <w:style w:type="character" w:styleId="Nmerodepgina">
    <w:name w:val="page number"/>
    <w:basedOn w:val="Fontepargpadro"/>
    <w:rsid w:val="00FC55FF"/>
  </w:style>
  <w:style w:type="paragraph" w:customStyle="1" w:styleId="Corpodotexto">
    <w:name w:val="Corpo do texto"/>
    <w:basedOn w:val="Normal"/>
    <w:rsid w:val="00FC55FF"/>
    <w:rPr>
      <w:szCs w:val="20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C55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6728"/>
    <w:pPr>
      <w:suppressAutoHyphens/>
      <w:autoSpaceDN w:val="0"/>
      <w:textAlignment w:val="baseline"/>
    </w:pPr>
    <w:rPr>
      <w:rFonts w:ascii="Bookman Old Style" w:hAnsi="Bookman Old Style"/>
      <w:bCs/>
      <w:color w:val="000000"/>
      <w:kern w:val="3"/>
      <w:sz w:val="24"/>
      <w:lang w:eastAsia="zh-CN"/>
    </w:rPr>
  </w:style>
  <w:style w:type="paragraph" w:customStyle="1" w:styleId="Ttulo21">
    <w:name w:val="Título 21"/>
    <w:basedOn w:val="Standard"/>
    <w:next w:val="Standard"/>
    <w:rsid w:val="004B672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customStyle="1" w:styleId="Ttulo31">
    <w:name w:val="Título 31"/>
    <w:basedOn w:val="Standard"/>
    <w:next w:val="Standard"/>
    <w:rsid w:val="004B6728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Ttulo51">
    <w:name w:val="Título 51"/>
    <w:basedOn w:val="Standard"/>
    <w:next w:val="Standard"/>
    <w:rsid w:val="004B6728"/>
    <w:p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Ttulo61">
    <w:name w:val="Título 61"/>
    <w:basedOn w:val="Standard"/>
    <w:next w:val="Standard"/>
    <w:rsid w:val="004B6728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customStyle="1" w:styleId="Textbodyindent">
    <w:name w:val="Text body indent"/>
    <w:basedOn w:val="Standard"/>
    <w:rsid w:val="004B6728"/>
    <w:pPr>
      <w:spacing w:after="120"/>
      <w:ind w:left="283"/>
    </w:pPr>
  </w:style>
  <w:style w:type="paragraph" w:customStyle="1" w:styleId="Ttulo41">
    <w:name w:val="Título 41"/>
    <w:basedOn w:val="Standard"/>
    <w:next w:val="Standard"/>
    <w:rsid w:val="004B6728"/>
    <w:pPr>
      <w:keepNext/>
      <w:ind w:left="-960" w:firstLine="890"/>
      <w:jc w:val="center"/>
      <w:outlineLvl w:val="3"/>
    </w:pPr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uiPriority w:val="99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FC55FF"/>
    <w:rPr>
      <w:sz w:val="26"/>
    </w:rPr>
  </w:style>
  <w:style w:type="character" w:styleId="Nmerodepgina">
    <w:name w:val="page number"/>
    <w:basedOn w:val="Fontepargpadro"/>
    <w:rsid w:val="00FC55FF"/>
  </w:style>
  <w:style w:type="paragraph" w:customStyle="1" w:styleId="Corpodotexto">
    <w:name w:val="Corpo do texto"/>
    <w:basedOn w:val="Normal"/>
    <w:rsid w:val="00FC55FF"/>
    <w:rPr>
      <w:szCs w:val="20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FC55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6728"/>
    <w:pPr>
      <w:suppressAutoHyphens/>
      <w:autoSpaceDN w:val="0"/>
      <w:textAlignment w:val="baseline"/>
    </w:pPr>
    <w:rPr>
      <w:rFonts w:ascii="Bookman Old Style" w:hAnsi="Bookman Old Style"/>
      <w:bCs/>
      <w:color w:val="000000"/>
      <w:kern w:val="3"/>
      <w:sz w:val="24"/>
      <w:lang w:eastAsia="zh-CN"/>
    </w:rPr>
  </w:style>
  <w:style w:type="paragraph" w:customStyle="1" w:styleId="Ttulo21">
    <w:name w:val="Título 21"/>
    <w:basedOn w:val="Standard"/>
    <w:next w:val="Standard"/>
    <w:rsid w:val="004B672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customStyle="1" w:styleId="Ttulo31">
    <w:name w:val="Título 31"/>
    <w:basedOn w:val="Standard"/>
    <w:next w:val="Standard"/>
    <w:rsid w:val="004B6728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Ttulo51">
    <w:name w:val="Título 51"/>
    <w:basedOn w:val="Standard"/>
    <w:next w:val="Standard"/>
    <w:rsid w:val="004B6728"/>
    <w:p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Ttulo61">
    <w:name w:val="Título 61"/>
    <w:basedOn w:val="Standard"/>
    <w:next w:val="Standard"/>
    <w:rsid w:val="004B6728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customStyle="1" w:styleId="Textbodyindent">
    <w:name w:val="Text body indent"/>
    <w:basedOn w:val="Standard"/>
    <w:rsid w:val="004B6728"/>
    <w:pPr>
      <w:spacing w:after="120"/>
      <w:ind w:left="283"/>
    </w:pPr>
  </w:style>
  <w:style w:type="paragraph" w:customStyle="1" w:styleId="Ttulo41">
    <w:name w:val="Título 41"/>
    <w:basedOn w:val="Standard"/>
    <w:next w:val="Standard"/>
    <w:rsid w:val="004B6728"/>
    <w:pPr>
      <w:keepNext/>
      <w:ind w:left="-960" w:firstLine="890"/>
      <w:jc w:val="center"/>
      <w:outlineLvl w:val="3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5B93-52CE-49B2-80D3-FFB8D4B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23</cp:revision>
  <cp:lastPrinted>2014-07-09T14:01:00Z</cp:lastPrinted>
  <dcterms:created xsi:type="dcterms:W3CDTF">2014-03-27T13:37:00Z</dcterms:created>
  <dcterms:modified xsi:type="dcterms:W3CDTF">2014-07-15T12:06:00Z</dcterms:modified>
</cp:coreProperties>
</file>