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9F" w:rsidRDefault="003F6C9F" w:rsidP="00E44B17">
      <w:pPr>
        <w:jc w:val="center"/>
        <w:rPr>
          <w:b/>
          <w:sz w:val="28"/>
        </w:rPr>
      </w:pPr>
      <w:r>
        <w:rPr>
          <w:b/>
          <w:sz w:val="28"/>
        </w:rPr>
        <w:t>LEI Nº 890, DE 24 DE ABRIL DE 2000.</w:t>
      </w:r>
    </w:p>
    <w:p w:rsidR="003F6C9F" w:rsidRDefault="003F6C9F" w:rsidP="00E44B17">
      <w:pPr>
        <w:pStyle w:val="Ttulo2"/>
        <w:jc w:val="center"/>
      </w:pPr>
      <w:r>
        <w:t>DOE Nº 4483, DE 02 DE MAIO DE 2000.</w:t>
      </w:r>
    </w:p>
    <w:p w:rsidR="003F6C9F" w:rsidRPr="00E44B17" w:rsidRDefault="00E44B17" w:rsidP="00E44B17">
      <w:pPr>
        <w:jc w:val="center"/>
        <w:rPr>
          <w:b/>
          <w:sz w:val="28"/>
        </w:rPr>
      </w:pPr>
      <w:r>
        <w:rPr>
          <w:b/>
          <w:sz w:val="28"/>
        </w:rPr>
        <w:t>(Revogada pela Lei n. 4.610, de 15/10/2019)</w:t>
      </w:r>
    </w:p>
    <w:p w:rsidR="003B0F6D" w:rsidRDefault="003B0F6D" w:rsidP="005B7736">
      <w:pPr>
        <w:rPr>
          <w:sz w:val="28"/>
        </w:rPr>
      </w:pPr>
    </w:p>
    <w:p w:rsidR="003B0F6D" w:rsidRDefault="003B0F6D" w:rsidP="005B7736">
      <w:pPr>
        <w:rPr>
          <w:sz w:val="28"/>
        </w:rPr>
      </w:pPr>
      <w:r>
        <w:rPr>
          <w:sz w:val="28"/>
        </w:rPr>
        <w:t>Alterações:</w:t>
      </w:r>
    </w:p>
    <w:p w:rsidR="003B0F6D" w:rsidRDefault="00086DB7" w:rsidP="005B7736">
      <w:pPr>
        <w:rPr>
          <w:sz w:val="28"/>
        </w:rPr>
      </w:pPr>
      <w:hyperlink r:id="rId4" w:history="1">
        <w:r w:rsidR="003B0F6D" w:rsidRPr="00086DB7">
          <w:rPr>
            <w:rStyle w:val="Hyperlink"/>
            <w:sz w:val="28"/>
          </w:rPr>
          <w:t>Alterada pela Lei n. 2.541, de 18/08/2011</w:t>
        </w:r>
      </w:hyperlink>
    </w:p>
    <w:p w:rsidR="005B7736" w:rsidRDefault="00086DB7" w:rsidP="005B7736">
      <w:pPr>
        <w:rPr>
          <w:sz w:val="28"/>
        </w:rPr>
      </w:pPr>
      <w:hyperlink r:id="rId5" w:history="1">
        <w:r w:rsidR="00A1743E" w:rsidRPr="00086DB7">
          <w:rPr>
            <w:rStyle w:val="Hyperlink"/>
            <w:sz w:val="28"/>
          </w:rPr>
          <w:t>Alterada pela Lei n. 3.945, de 12/12/2016</w:t>
        </w:r>
      </w:hyperlink>
      <w:bookmarkStart w:id="0" w:name="_GoBack"/>
      <w:bookmarkEnd w:id="0"/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pStyle w:val="Corpodetexto21"/>
      </w:pPr>
      <w:r>
        <w:t xml:space="preserve">Matéria vetada pelo Governador do Estado e mantido o texto pela </w:t>
      </w:r>
      <w:proofErr w:type="spellStart"/>
      <w:r>
        <w:t>Assembléia</w:t>
      </w:r>
      <w:proofErr w:type="spellEnd"/>
      <w:r>
        <w:t xml:space="preserve"> Legislativa, do Projeto de Lei que “Dispõe sobre procedimentos vinculados à elaboração, análise e aprovação de Estudo de Impacto Ambiental – EIA e Relatório de Impacto Ambiental – RIMA e dá outras providências.”.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Assembléia</w:t>
      </w:r>
      <w:proofErr w:type="spellEnd"/>
      <w:r>
        <w:rPr>
          <w:sz w:val="28"/>
        </w:rPr>
        <w:t xml:space="preserve"> Legislativa do Estado de Rondônia manteve e eu, </w:t>
      </w:r>
      <w:proofErr w:type="spellStart"/>
      <w:r>
        <w:rPr>
          <w:sz w:val="28"/>
        </w:rPr>
        <w:t>Silvernani</w:t>
      </w:r>
      <w:proofErr w:type="spellEnd"/>
      <w:r>
        <w:rPr>
          <w:sz w:val="28"/>
        </w:rPr>
        <w:t xml:space="preserve"> Santos, Presidente da </w:t>
      </w:r>
      <w:proofErr w:type="spellStart"/>
      <w:r>
        <w:rPr>
          <w:sz w:val="28"/>
        </w:rPr>
        <w:t>Assembléia</w:t>
      </w:r>
      <w:proofErr w:type="spellEnd"/>
      <w:r>
        <w:rPr>
          <w:sz w:val="28"/>
        </w:rPr>
        <w:t xml:space="preserve"> Legislativa, nos termos do § 7º do art. 42 da Constituição Estadual, promulgo a seguinte Lei: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1° - Dependerão da elaboração de Estudo de Impacto Ambiental – EIA e do Relatório de Impacto Ambiental – RIMA, realizado por empresa especializada e analisado pela Secretaria de Estado do Desenvolvimento Ambiental – SEDAM, os licenciamentos para implantação, ampliação, operação das seguintes instalações e/ou atividades, consideradas de grande porte ou de significativo impacto ambiental: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 – estradas de rodagem com uma ou mais pistas de rolamento;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II – ferrovias;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III – portos e terminais de minérios, petróleo e produtos químicos;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IV – aeroportos, conforme definidos na legislação pertinentes;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V – linhas de transmissão de energia elétrica, com capacidade acima de 230 KW;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VI – barragens e usinas de geração de energia elétrica, qualquer que seja a fonte de energia, com capacidade igual ou superior a 10 MW;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VII – extração de petróleo, xisto e carvão;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VIII – extração de minério, inclusive areia;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IX – abertura e drenagem de canais de navegação, drenagem ou irrigação, retificação de recursos de água, abertura de barras e embocaduras, transposição de bacias e construção de diques;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 – aterros sanitários, processamento e destino final de resíduos tóxicos ou perigosos;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 xml:space="preserve">XI – complexos ou unidades petroquímicos, </w:t>
      </w:r>
      <w:proofErr w:type="spellStart"/>
      <w:r>
        <w:rPr>
          <w:sz w:val="28"/>
        </w:rPr>
        <w:t>cloroquímicos</w:t>
      </w:r>
      <w:proofErr w:type="spellEnd"/>
      <w:r>
        <w:rPr>
          <w:sz w:val="28"/>
        </w:rPr>
        <w:t>, siderúrgicas e usinas de destilação de álcool;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XII – distritos industriais e zonas estritamente industriais;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XIII – projetos agropecuários que envolvam conversão de matas e uso alternativo do solo, em áreas superiores a 1.000 (mil) hectares, ou menores quando situados total ou parcialmente em áreas de interesse especial ou ambiental, conforme definidos pela legislação em vigor;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XIV – qualquer atividade que utilize carvão vegetal, derivados ou produtos similares acima de 10 (dez) toneladas por dia;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XV – produção de água mineral;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XVI – projetos de assentamentos humanos, vinculados à reforma agrária.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1º - As instalações relacionadas nos incisos III, VIII, XII e XIII, já implantadas, e ainda não licenciadas, têm prazo máximo de dois anos para dar início ao processo de licenciamento previsto na legislação de proteção ambiental, devendo cumprir as exigências constantes desta Lei.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 xml:space="preserve">§ 2º - O início da implantação, ampliação ou instalação de qualquer atividade relacionada neste artigo sem a autorização prévia da Secretaria de Estado do Desenvolvimento Ambiental – SEDAM, implicará em multa, prevista na Legislação Estadual, retroativa à data em </w:t>
      </w:r>
      <w:r>
        <w:rPr>
          <w:sz w:val="28"/>
        </w:rPr>
        <w:lastRenderedPageBreak/>
        <w:t>que se configurou a infração, até a paralisação das atividades ou até que sejam sanadas as irregularidades.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3º - Os empreendimentos de baixo potencial poluidor poderão ser dispensados do Estudo de Impacto Ambiental – EIA e do Relatório de Impacto Ambiental – RIMA, mediante critério do órgão licenciador, podendo, no entanto, apresentarem Plano de Controle Ambiental, Plano de Recuperação de Áreas Degradadas e Relatório Preliminar de Impacto Ambiental.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F4622B" w:rsidRPr="00F4622B" w:rsidRDefault="00F4622B" w:rsidP="00F4622B">
      <w:pPr>
        <w:pStyle w:val="SemEspaamento"/>
        <w:ind w:firstLine="2835"/>
        <w:jc w:val="both"/>
        <w:rPr>
          <w:sz w:val="28"/>
          <w:szCs w:val="28"/>
        </w:rPr>
      </w:pPr>
      <w:r w:rsidRPr="00F4622B">
        <w:rPr>
          <w:sz w:val="28"/>
          <w:szCs w:val="28"/>
        </w:rPr>
        <w:t xml:space="preserve">§ 4°. Além do Estudo de Impacto Ambiental – EIA e do Relatório de Impacto Ambiental – RIMA, as concessões dos licenciamentos de que trata o </w:t>
      </w:r>
      <w:r w:rsidRPr="00F4622B">
        <w:rPr>
          <w:i/>
          <w:sz w:val="28"/>
          <w:szCs w:val="28"/>
        </w:rPr>
        <w:t>caput</w:t>
      </w:r>
      <w:r w:rsidRPr="00F4622B">
        <w:rPr>
          <w:sz w:val="28"/>
          <w:szCs w:val="28"/>
        </w:rPr>
        <w:t xml:space="preserve"> deste artigo dependem de prévia autorização legislativa, como também dependem de prévia autorização legislativa qualquer atividade efetiva e potencialmente poluidora capaz de causar degradação ambiental.</w:t>
      </w:r>
      <w:r w:rsidR="005B7736" w:rsidRPr="005B7736">
        <w:t xml:space="preserve"> </w:t>
      </w:r>
      <w:r w:rsidR="005B7736" w:rsidRPr="005B7736">
        <w:rPr>
          <w:b/>
          <w:sz w:val="28"/>
          <w:szCs w:val="28"/>
        </w:rPr>
        <w:t>(Parágrafo acrescido pela Lei n. 2.541, de 18/08/2011)</w:t>
      </w:r>
    </w:p>
    <w:p w:rsidR="00F4622B" w:rsidRPr="00F4622B" w:rsidRDefault="00F4622B" w:rsidP="00F4622B">
      <w:pPr>
        <w:pStyle w:val="SemEspaamento"/>
        <w:ind w:firstLine="2835"/>
        <w:jc w:val="both"/>
        <w:rPr>
          <w:sz w:val="28"/>
          <w:szCs w:val="28"/>
        </w:rPr>
      </w:pPr>
    </w:p>
    <w:p w:rsidR="00F4622B" w:rsidRPr="00F4622B" w:rsidRDefault="00F4622B" w:rsidP="00F4622B">
      <w:pPr>
        <w:pStyle w:val="SemEspaamento"/>
        <w:ind w:firstLine="2835"/>
        <w:jc w:val="both"/>
        <w:rPr>
          <w:sz w:val="28"/>
          <w:szCs w:val="28"/>
        </w:rPr>
      </w:pPr>
      <w:r w:rsidRPr="00F4622B">
        <w:rPr>
          <w:sz w:val="28"/>
          <w:szCs w:val="28"/>
        </w:rPr>
        <w:t>§ 5°. A desafetação de qualquer área para implantação e operação das atividades de que trata esta Lei deve levar em conta as características da região, nos aspectos da fauna, flora e demais aspectos na questão ambiental que a administração entender necessários.</w:t>
      </w:r>
      <w:r w:rsidR="005B7736" w:rsidRPr="005B7736">
        <w:rPr>
          <w:b/>
          <w:sz w:val="28"/>
          <w:szCs w:val="28"/>
        </w:rPr>
        <w:t xml:space="preserve"> (Parágrafo acrescido pela Lei n. 2.541, de 18/08/2011)</w:t>
      </w:r>
    </w:p>
    <w:p w:rsidR="00F4622B" w:rsidRPr="00F4622B" w:rsidRDefault="00F4622B" w:rsidP="00F4622B">
      <w:pPr>
        <w:pStyle w:val="SemEspaamento"/>
        <w:ind w:left="708" w:firstLine="2835"/>
        <w:jc w:val="both"/>
        <w:rPr>
          <w:sz w:val="28"/>
          <w:szCs w:val="28"/>
        </w:rPr>
      </w:pPr>
    </w:p>
    <w:p w:rsidR="00F4622B" w:rsidRPr="00F4622B" w:rsidRDefault="00F4622B" w:rsidP="00F4622B">
      <w:pPr>
        <w:ind w:firstLine="2835"/>
        <w:jc w:val="both"/>
        <w:rPr>
          <w:sz w:val="28"/>
          <w:szCs w:val="28"/>
        </w:rPr>
      </w:pPr>
      <w:r w:rsidRPr="00F4622B">
        <w:rPr>
          <w:sz w:val="28"/>
          <w:szCs w:val="28"/>
        </w:rPr>
        <w:t>§ 6°. Qualquer desafetação de área para implantação e operação das atividades de que trata esta Lei será precedida de termo de compromisso firmado pela parte empreendedora com o Governo do Estado e interveniência da Assembleia Legislativa, com garantia de compensações compatíveis com os impactos produzidos pelo empreendimento, sendo que a aplicação de 50 % (cinquenta por cento) do montante das compensações será definido pelo Poder Legislativo.</w:t>
      </w:r>
      <w:r w:rsidR="005B7736" w:rsidRPr="005B7736">
        <w:rPr>
          <w:b/>
          <w:sz w:val="28"/>
          <w:szCs w:val="28"/>
        </w:rPr>
        <w:t xml:space="preserve"> (Parágrafo acrescido pela Lei n. 2.541, de 18/08/2011)</w:t>
      </w:r>
    </w:p>
    <w:p w:rsidR="00F4622B" w:rsidRDefault="00F4622B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2° - O Estado de Impacto Ambiental – EIA, deverá ser acompanhado de Relatório de Impacto Ambiental – RIMA, o qual será elaborado de forma objetiva, em linguagem corrente, adequada à compreensão das comunidades interessadas.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3º O nome e a formação profissional de todos os técnicos responsáveis pela elaboração do Estudo de Impacto Ambiental – EIA e do Relatório de Impacto Ambiental – RIMA, deverão constar do documento.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lastRenderedPageBreak/>
        <w:t>Art. 4º - O Estudo de Impacto Ambiental – EIA, bem como o Relatório de Impacto Ambiental – RIMA, serão acessíveis à consulta pública na Secretaria de Estado do Desenvolvimento Ambiental – SEDAM, devendo serem colocados em local de fácil acesso ou nos Municípios diretamente atingidos pela implantação do projeto.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1º - A Secretaria de Estado do Desenvolvimento – SEDAM, dará ampla publicidade a todas as fases do Licenciamento Ambiental, com publicação obrigatória no Diário Oficial do estado e nos jornais de maior circulação, especialmente após a conclusão do parecer técnico, convocação e divulgação da audiência pública.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2º - As manifestações das partes interessadas, somente serão aceitas quando encaminhadas por escrito e devidamente assinadas, dentro do prazo regulamentado de 15 (quinze) dias, após audiência pública.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3º - As manifestações escritas encaminhadas, tempestivamente, e na forma da Lei, serão objetos de análise e consideração, se pertinentes, poderão constar do Termo de Ajustamento e/ou de Compromisso, conforme estabelece a legislação em vigor.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 xml:space="preserve">§ 4º - A Secretaria de Estado do Desenvolvimento Ambiental – SEDAM, a </w:t>
      </w:r>
      <w:proofErr w:type="spellStart"/>
      <w:r>
        <w:rPr>
          <w:sz w:val="28"/>
        </w:rPr>
        <w:t>Assembléia</w:t>
      </w:r>
      <w:proofErr w:type="spellEnd"/>
      <w:r>
        <w:rPr>
          <w:sz w:val="28"/>
        </w:rPr>
        <w:t xml:space="preserve"> Legislativa, a Procuradoria Geral de Justiça, o Ministério Público, além de outros organismos constituídos, poderão apresentar sugestões, por escrito, no prazo de 15 (quinze) dias, após audiência pública.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5º - Findo o processo de análise de audiência pública, será lavrado parecer conclusivo por parte da equipe técnica multidisciplinar da Secretaria de Estado do Desenvolvimento Ambiental – SEDAM, à qual caberá a análise do Processo de Licenciamento Ambiental, que será encaminhado para homologação pelo Conselho Estadual de Política Ambiental – CONSEPA.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5º - Antes da expedição da Licença de Instalação será realizadas audiências públicas pela Secretaria de Estado do Desenvolvimento Ambiental – SEDAM, quando julgar conveniente à proteção do interesse social e do patrimônio natural, ou sempre que solicitadas.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1º - As audiências públicas serão realizadas na localidade ou município onde será executado o empreendimento, com a participação efetiva da comunidade afetada, convocada por edital publicado em jornal de grande circulação regional e/ou no Diário Oficial do Estado, com antecedência de, no mínimo, 5 (cinco) dias úteis.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2º - Em função da localização geográfica da sede ou residência dos solicitantes e da complexidade do assunto, poderá haver mais de uma audiência pública sobre o mesmo EIA - RIMA.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3º - As audiências públicas serão realizadas em horários e locais compatíveis com as possibilidades de acesso das comunidades interessadas.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Pr="001D7DFB" w:rsidRDefault="003F6C9F" w:rsidP="003F6C9F">
      <w:pPr>
        <w:ind w:firstLine="2835"/>
        <w:jc w:val="both"/>
        <w:rPr>
          <w:b/>
          <w:sz w:val="28"/>
        </w:rPr>
      </w:pPr>
      <w:r w:rsidRPr="001D7DFB">
        <w:rPr>
          <w:strike/>
          <w:sz w:val="28"/>
        </w:rPr>
        <w:t>§ 4º - Cabe à Secretaria de Estado do Desenvolvimento Ambiental – SEDAM estimular a participação das comunidades locais às audiências públicas, através do envio de informações aos meios de comunicação e associações civis.</w:t>
      </w:r>
      <w:r w:rsidR="001D7DFB">
        <w:rPr>
          <w:strike/>
          <w:sz w:val="28"/>
        </w:rPr>
        <w:t xml:space="preserve"> </w:t>
      </w:r>
      <w:r w:rsidR="001D7DFB" w:rsidRPr="001D7DFB">
        <w:rPr>
          <w:b/>
          <w:sz w:val="28"/>
        </w:rPr>
        <w:t>(Revogado pela Lei n. 3.945, de 12/12/2016)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5º - Durante as audiências públicas será permitida a manifestação oral e escrita dos participantes.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§ 6º - Ao início de cada Audiência pública será lavrada uma Ata, sucinta, que será anexada à cópia do Relatório de Impacto Ambiental – RIMA, de que trata o art. 5º desta Lei.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6º - Correrão por conta do proponente do projeto e/ou atividade todas as despesas com: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 – elaboração e reprodução do Estudo de Impacto Ambiental – EIA e Relatório de Impacto Ambiental – RIMA;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II – publicação em jornais e despesas de publicidade que se fizerem necessárias a ampla divulgação da matéria;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III – Taxa de Licenciamento Ambiental, calculada de acordo com a magnitude do impacto causado, conforme determina a legislação em vigência;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IV – implementação das medidas mitigadoras e compensatórias, além do monitoramento das atividades de apresentação de relatório à Secretaria de Estado do Desenvolvimento Ambiental – SEDAM.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Parágrafo único – A critério da Secretaria de Estado do Desenvolvimento Ambiental – SEDAM e do proponente do projeto e/ou atividade, poderão ser contratadas, diretamente com universidades públicas e instituições de pesquisa, a análise e emissão de pareceres, sem que a Secretaria de Estado do Desenvolvimento Ambiental – SEDAM seja obrigada a acolher os pareceres emitidos.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 xml:space="preserve">Art. 7° - </w:t>
      </w:r>
      <w:proofErr w:type="gramStart"/>
      <w:r>
        <w:rPr>
          <w:sz w:val="28"/>
        </w:rPr>
        <w:t>Esta  Lei</w:t>
      </w:r>
      <w:proofErr w:type="gramEnd"/>
      <w:r>
        <w:rPr>
          <w:sz w:val="28"/>
        </w:rPr>
        <w:t xml:space="preserve">  entra  em  vigor  na  data  de  sua publicação.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Art. 8° - Revogam-se as disposições em contrário.</w:t>
      </w:r>
    </w:p>
    <w:p w:rsidR="003F6C9F" w:rsidRDefault="003F6C9F" w:rsidP="003F6C9F">
      <w:pPr>
        <w:ind w:firstLine="2835"/>
        <w:jc w:val="both"/>
        <w:rPr>
          <w:sz w:val="28"/>
        </w:rPr>
      </w:pPr>
    </w:p>
    <w:p w:rsidR="003F6C9F" w:rsidRDefault="003F6C9F" w:rsidP="003F6C9F">
      <w:pPr>
        <w:ind w:firstLine="2835"/>
        <w:jc w:val="both"/>
        <w:rPr>
          <w:sz w:val="28"/>
        </w:rPr>
      </w:pPr>
      <w:r>
        <w:rPr>
          <w:sz w:val="28"/>
        </w:rPr>
        <w:t>ASSEMBLÉIA LEGISLATIVA, 24 de abril de 2000.</w:t>
      </w:r>
    </w:p>
    <w:p w:rsidR="001438BB" w:rsidRDefault="001438BB"/>
    <w:sectPr w:rsidR="0014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F"/>
    <w:rsid w:val="00086DB7"/>
    <w:rsid w:val="001438BB"/>
    <w:rsid w:val="001D7DFB"/>
    <w:rsid w:val="003B0F6D"/>
    <w:rsid w:val="003F6C9F"/>
    <w:rsid w:val="005B7736"/>
    <w:rsid w:val="00A1743E"/>
    <w:rsid w:val="00E44B17"/>
    <w:rsid w:val="00F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CF02-0BDC-4387-93D7-23AB6AF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C9F"/>
    <w:pPr>
      <w:keepNext/>
      <w:jc w:val="both"/>
      <w:outlineLvl w:val="1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F6C9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3F6C9F"/>
    <w:pPr>
      <w:ind w:firstLine="2835"/>
      <w:jc w:val="both"/>
    </w:pPr>
    <w:rPr>
      <w:sz w:val="28"/>
    </w:rPr>
  </w:style>
  <w:style w:type="paragraph" w:styleId="SemEspaamento">
    <w:name w:val="No Spacing"/>
    <w:qFormat/>
    <w:rsid w:val="00F4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tel.casacivil.ro.gov.br/COTEL/Livros/detalhes.aspx?coddoc=27074" TargetMode="External"/><Relationship Id="rId4" Type="http://schemas.openxmlformats.org/officeDocument/2006/relationships/hyperlink" Target="http://ditel.casacivil.ro.gov.br/COTEL/Livros/detalhes.aspx?coddoc=32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Brenda Taynah Siepamann Veloso</cp:lastModifiedBy>
  <cp:revision>6</cp:revision>
  <dcterms:created xsi:type="dcterms:W3CDTF">2016-05-17T13:17:00Z</dcterms:created>
  <dcterms:modified xsi:type="dcterms:W3CDTF">2020-01-23T16:38:00Z</dcterms:modified>
</cp:coreProperties>
</file>