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A1" w:rsidRDefault="00412716" w:rsidP="00D968BF">
      <w:pPr>
        <w:pStyle w:val="Corpodetexto"/>
        <w:spacing w:line="240" w:lineRule="auto"/>
        <w:jc w:val="center"/>
      </w:pPr>
      <w:r w:rsidRPr="00063122">
        <w:rPr>
          <w:rFonts w:ascii="Times New Roman" w:hAnsi="Times New Roman"/>
          <w:sz w:val="24"/>
          <w:szCs w:val="24"/>
        </w:rPr>
        <w:t>LEI N.</w:t>
      </w:r>
      <w:r>
        <w:rPr>
          <w:rFonts w:ascii="Times New Roman" w:hAnsi="Times New Roman"/>
          <w:sz w:val="24"/>
          <w:szCs w:val="24"/>
        </w:rPr>
        <w:t xml:space="preserve"> </w:t>
      </w:r>
      <w:r w:rsidR="0085112D">
        <w:rPr>
          <w:rFonts w:ascii="Times New Roman" w:hAnsi="Times New Roman"/>
          <w:sz w:val="24"/>
          <w:szCs w:val="24"/>
        </w:rPr>
        <w:t>4.455</w:t>
      </w:r>
      <w:r w:rsidRPr="00063122">
        <w:rPr>
          <w:rFonts w:ascii="Times New Roman" w:hAnsi="Times New Roman"/>
          <w:sz w:val="24"/>
          <w:szCs w:val="24"/>
        </w:rPr>
        <w:t>, DE</w:t>
      </w:r>
      <w:r w:rsidR="0085112D">
        <w:rPr>
          <w:rFonts w:ascii="Times New Roman" w:hAnsi="Times New Roman"/>
          <w:sz w:val="24"/>
          <w:szCs w:val="24"/>
        </w:rPr>
        <w:t xml:space="preserve"> 7 </w:t>
      </w:r>
      <w:r w:rsidRPr="00063122">
        <w:rPr>
          <w:rFonts w:ascii="Times New Roman" w:hAnsi="Times New Roman"/>
          <w:sz w:val="24"/>
          <w:szCs w:val="24"/>
        </w:rPr>
        <w:t xml:space="preserve">DE </w:t>
      </w:r>
      <w:r>
        <w:rPr>
          <w:rFonts w:ascii="Times New Roman" w:hAnsi="Times New Roman"/>
          <w:sz w:val="24"/>
          <w:szCs w:val="24"/>
        </w:rPr>
        <w:t>JANEIRO</w:t>
      </w:r>
      <w:r w:rsidRPr="00063122">
        <w:rPr>
          <w:rFonts w:ascii="Times New Roman" w:hAnsi="Times New Roman"/>
          <w:sz w:val="24"/>
          <w:szCs w:val="24"/>
        </w:rPr>
        <w:t xml:space="preserve"> DE 201</w:t>
      </w:r>
      <w:r>
        <w:rPr>
          <w:rFonts w:ascii="Times New Roman" w:hAnsi="Times New Roman"/>
          <w:sz w:val="24"/>
          <w:szCs w:val="24"/>
        </w:rPr>
        <w:t>9</w:t>
      </w:r>
      <w:r w:rsidRPr="00063122">
        <w:rPr>
          <w:rFonts w:ascii="Times New Roman" w:hAnsi="Times New Roman"/>
          <w:sz w:val="24"/>
          <w:szCs w:val="24"/>
        </w:rPr>
        <w:t>.</w:t>
      </w:r>
    </w:p>
    <w:p w:rsidR="00C64CA1" w:rsidRDefault="00661847" w:rsidP="00412716">
      <w:pPr>
        <w:pStyle w:val="Normal1"/>
        <w:jc w:val="both"/>
        <w:rPr>
          <w:sz w:val="22"/>
          <w:szCs w:val="24"/>
        </w:rPr>
      </w:pPr>
      <w:r>
        <w:rPr>
          <w:sz w:val="22"/>
          <w:szCs w:val="24"/>
        </w:rPr>
        <w:t>Alterações:</w:t>
      </w:r>
    </w:p>
    <w:p w:rsidR="00661847" w:rsidRDefault="00D968BF" w:rsidP="00412716">
      <w:pPr>
        <w:pStyle w:val="Normal1"/>
        <w:jc w:val="both"/>
        <w:rPr>
          <w:sz w:val="22"/>
          <w:szCs w:val="24"/>
        </w:rPr>
      </w:pPr>
      <w:hyperlink r:id="rId7" w:history="1">
        <w:r w:rsidR="00661847" w:rsidRPr="00D968BF">
          <w:rPr>
            <w:rStyle w:val="Hyperlink"/>
            <w:sz w:val="22"/>
            <w:szCs w:val="24"/>
          </w:rPr>
          <w:t>Alterado pela Lei nº 4.465, de 25/03/2019.</w:t>
        </w:r>
      </w:hyperlink>
      <w:bookmarkStart w:id="0" w:name="_GoBack"/>
      <w:bookmarkEnd w:id="0"/>
    </w:p>
    <w:p w:rsidR="00661847" w:rsidRPr="00412716" w:rsidRDefault="00661847" w:rsidP="00412716">
      <w:pPr>
        <w:pStyle w:val="Normal1"/>
        <w:jc w:val="both"/>
        <w:rPr>
          <w:sz w:val="22"/>
          <w:szCs w:val="24"/>
        </w:rPr>
      </w:pPr>
    </w:p>
    <w:p w:rsidR="00C64CA1" w:rsidRPr="00412716" w:rsidRDefault="00501F6B" w:rsidP="00601445">
      <w:pPr>
        <w:pStyle w:val="Normal1"/>
        <w:ind w:left="5103" w:right="71"/>
        <w:jc w:val="both"/>
        <w:rPr>
          <w:sz w:val="18"/>
        </w:rPr>
      </w:pPr>
      <w:r w:rsidRPr="00412716">
        <w:rPr>
          <w:sz w:val="24"/>
          <w:szCs w:val="26"/>
        </w:rPr>
        <w:t>Estima a receita e fixa a despesa do Estado de Rondônia para o exercício financeiro de 2019</w:t>
      </w:r>
      <w:r w:rsidR="008A4F45" w:rsidRPr="00412716">
        <w:rPr>
          <w:sz w:val="24"/>
          <w:szCs w:val="26"/>
        </w:rPr>
        <w:t>.</w:t>
      </w:r>
    </w:p>
    <w:p w:rsidR="008A4F45" w:rsidRPr="00412716" w:rsidRDefault="008A4F45" w:rsidP="00412716">
      <w:pPr>
        <w:pStyle w:val="Normal1"/>
        <w:jc w:val="both"/>
        <w:rPr>
          <w:sz w:val="18"/>
        </w:rPr>
      </w:pPr>
    </w:p>
    <w:p w:rsidR="00412716" w:rsidRPr="00412716" w:rsidRDefault="00412716" w:rsidP="00412716">
      <w:pPr>
        <w:ind w:firstLine="567"/>
        <w:rPr>
          <w:sz w:val="24"/>
          <w:szCs w:val="24"/>
        </w:rPr>
      </w:pPr>
      <w:r w:rsidRPr="00412716">
        <w:rPr>
          <w:sz w:val="24"/>
          <w:szCs w:val="24"/>
        </w:rPr>
        <w:t>O GOVERNADOR DO ESTADO DE RONDÔNIA:</w:t>
      </w:r>
    </w:p>
    <w:p w:rsidR="00412716" w:rsidRPr="00412716" w:rsidRDefault="00412716" w:rsidP="00412716">
      <w:pPr>
        <w:ind w:firstLine="567"/>
        <w:jc w:val="both"/>
        <w:rPr>
          <w:sz w:val="24"/>
          <w:szCs w:val="24"/>
        </w:rPr>
      </w:pPr>
      <w:r w:rsidRPr="00412716">
        <w:rPr>
          <w:sz w:val="24"/>
          <w:szCs w:val="24"/>
        </w:rPr>
        <w:t>Faço saber que a Assembleia Legislativa decreta e eu sanciono a seguinte Lei:</w:t>
      </w:r>
    </w:p>
    <w:p w:rsidR="00C64CA1" w:rsidRPr="00412716" w:rsidRDefault="00C64CA1" w:rsidP="00412716">
      <w:pPr>
        <w:pStyle w:val="Normal1"/>
        <w:jc w:val="both"/>
        <w:rPr>
          <w:sz w:val="18"/>
        </w:rPr>
      </w:pPr>
    </w:p>
    <w:p w:rsidR="00C64CA1" w:rsidRPr="00412716" w:rsidRDefault="00501F6B" w:rsidP="00412716">
      <w:pPr>
        <w:pStyle w:val="Normal1"/>
        <w:ind w:right="63" w:firstLine="567"/>
        <w:jc w:val="both"/>
        <w:rPr>
          <w:sz w:val="24"/>
          <w:szCs w:val="26"/>
        </w:rPr>
      </w:pPr>
      <w:r w:rsidRPr="00412716">
        <w:rPr>
          <w:sz w:val="24"/>
          <w:szCs w:val="26"/>
        </w:rPr>
        <w:t>Art.1º. Esta Lei estima a receita e fixa a despesa do Estado para o exercício financeiro de 2019, compreendendo:</w:t>
      </w:r>
    </w:p>
    <w:p w:rsidR="00C64CA1" w:rsidRPr="00412716" w:rsidRDefault="00C64CA1" w:rsidP="00412716">
      <w:pPr>
        <w:pStyle w:val="Normal1"/>
        <w:ind w:firstLine="567"/>
        <w:jc w:val="both"/>
        <w:rPr>
          <w:sz w:val="24"/>
          <w:szCs w:val="26"/>
        </w:rPr>
      </w:pPr>
    </w:p>
    <w:p w:rsidR="00C64CA1" w:rsidRPr="00412716" w:rsidRDefault="00501F6B" w:rsidP="00412716">
      <w:pPr>
        <w:pStyle w:val="Normal1"/>
        <w:ind w:right="68" w:firstLine="567"/>
        <w:jc w:val="both"/>
        <w:rPr>
          <w:sz w:val="24"/>
          <w:szCs w:val="26"/>
        </w:rPr>
      </w:pPr>
      <w:r w:rsidRPr="00412716">
        <w:rPr>
          <w:sz w:val="24"/>
          <w:szCs w:val="26"/>
        </w:rPr>
        <w:t xml:space="preserve">I - </w:t>
      </w:r>
      <w:r w:rsidR="00412716">
        <w:rPr>
          <w:sz w:val="24"/>
          <w:szCs w:val="26"/>
        </w:rPr>
        <w:t>o</w:t>
      </w:r>
      <w:r w:rsidRPr="00412716">
        <w:rPr>
          <w:sz w:val="24"/>
          <w:szCs w:val="26"/>
        </w:rPr>
        <w:t xml:space="preserve"> Orçamento Fiscal referente aos Poderes do Estado, seus Fundos, Órgãos e Entidades da Administração Direta e Indireta; e</w:t>
      </w:r>
    </w:p>
    <w:p w:rsidR="00C64CA1" w:rsidRPr="00412716" w:rsidRDefault="00C64CA1" w:rsidP="00412716">
      <w:pPr>
        <w:pStyle w:val="Normal1"/>
        <w:ind w:firstLine="567"/>
        <w:jc w:val="both"/>
        <w:rPr>
          <w:sz w:val="24"/>
          <w:szCs w:val="26"/>
        </w:rPr>
      </w:pPr>
    </w:p>
    <w:p w:rsidR="00C64CA1" w:rsidRPr="00412716" w:rsidRDefault="00501F6B" w:rsidP="00412716">
      <w:pPr>
        <w:pStyle w:val="Normal1"/>
        <w:ind w:right="131" w:firstLine="567"/>
        <w:jc w:val="both"/>
        <w:rPr>
          <w:sz w:val="24"/>
          <w:szCs w:val="26"/>
        </w:rPr>
      </w:pPr>
      <w:r w:rsidRPr="00412716">
        <w:rPr>
          <w:sz w:val="24"/>
          <w:szCs w:val="26"/>
        </w:rPr>
        <w:t>II</w:t>
      </w:r>
      <w:r w:rsidR="00412716">
        <w:rPr>
          <w:sz w:val="24"/>
          <w:szCs w:val="26"/>
        </w:rPr>
        <w:t xml:space="preserve"> </w:t>
      </w:r>
      <w:r w:rsidRPr="00412716">
        <w:rPr>
          <w:sz w:val="24"/>
          <w:szCs w:val="26"/>
        </w:rPr>
        <w:t xml:space="preserve">- </w:t>
      </w:r>
      <w:r w:rsidR="00412716">
        <w:rPr>
          <w:sz w:val="24"/>
          <w:szCs w:val="26"/>
        </w:rPr>
        <w:t>o</w:t>
      </w:r>
      <w:r w:rsidRPr="00412716">
        <w:rPr>
          <w:sz w:val="24"/>
          <w:szCs w:val="26"/>
        </w:rPr>
        <w:t xml:space="preserve"> Orçamento da Seguridade Social, abrangendo todas as entidades e órgãos da Administração Direta e Indireta a ele vinculado, bem como Fundos, Empresas, e Fundações instituídas ou mantidas pelo Poder Público.</w:t>
      </w:r>
    </w:p>
    <w:p w:rsidR="00C64CA1" w:rsidRPr="00412716" w:rsidRDefault="00C64CA1" w:rsidP="00412716">
      <w:pPr>
        <w:pStyle w:val="Normal1"/>
        <w:ind w:firstLine="567"/>
        <w:jc w:val="both"/>
        <w:rPr>
          <w:sz w:val="24"/>
          <w:szCs w:val="26"/>
        </w:rPr>
      </w:pPr>
    </w:p>
    <w:p w:rsidR="00C64CA1" w:rsidRPr="00412716" w:rsidRDefault="00501F6B" w:rsidP="00412716">
      <w:pPr>
        <w:pStyle w:val="Normal1"/>
        <w:ind w:right="-25" w:firstLine="567"/>
        <w:jc w:val="both"/>
        <w:rPr>
          <w:sz w:val="24"/>
          <w:szCs w:val="26"/>
        </w:rPr>
      </w:pPr>
      <w:r w:rsidRPr="00412716">
        <w:rPr>
          <w:sz w:val="24"/>
          <w:szCs w:val="26"/>
        </w:rPr>
        <w:t>Art. 2º.  A receita total é estimada em R$ 8.189.773.479,00 (oito bilhões, cento e oitenta e nove milhões, setecentos e setenta e três mil, quatrocentos e setenta e nove reais).</w:t>
      </w:r>
    </w:p>
    <w:p w:rsidR="00C64CA1" w:rsidRPr="00412716" w:rsidRDefault="00C64CA1" w:rsidP="00412716">
      <w:pPr>
        <w:pStyle w:val="Normal1"/>
        <w:ind w:firstLine="567"/>
        <w:jc w:val="both"/>
        <w:rPr>
          <w:sz w:val="24"/>
          <w:szCs w:val="26"/>
        </w:rPr>
      </w:pPr>
    </w:p>
    <w:p w:rsidR="00C64CA1" w:rsidRPr="00412716" w:rsidRDefault="00501F6B" w:rsidP="00412716">
      <w:pPr>
        <w:pStyle w:val="Normal1"/>
        <w:ind w:right="135" w:firstLine="567"/>
        <w:jc w:val="both"/>
        <w:rPr>
          <w:color w:val="FF0000"/>
          <w:sz w:val="24"/>
          <w:szCs w:val="26"/>
        </w:rPr>
      </w:pPr>
      <w:r w:rsidRPr="00412716">
        <w:rPr>
          <w:sz w:val="24"/>
          <w:szCs w:val="26"/>
        </w:rPr>
        <w:t>Art.</w:t>
      </w:r>
      <w:r w:rsidR="00412716">
        <w:rPr>
          <w:sz w:val="24"/>
          <w:szCs w:val="26"/>
        </w:rPr>
        <w:t xml:space="preserve"> </w:t>
      </w:r>
      <w:r w:rsidRPr="00412716">
        <w:rPr>
          <w:sz w:val="24"/>
          <w:szCs w:val="26"/>
        </w:rPr>
        <w:t>3º.  A receita decorrerá da arrecadação efetuada nos termos da legislação vigente e segundo as especificações constantes dos anexos desta Lei, com o seguinte desdobramento</w:t>
      </w:r>
      <w:r w:rsidRPr="00442D14">
        <w:rPr>
          <w:sz w:val="24"/>
          <w:szCs w:val="26"/>
        </w:rPr>
        <w:t>:</w:t>
      </w:r>
    </w:p>
    <w:p w:rsidR="00C64CA1" w:rsidRDefault="00C64CA1">
      <w:pPr>
        <w:pStyle w:val="Normal1"/>
        <w:spacing w:before="9"/>
        <w:rPr>
          <w:sz w:val="12"/>
          <w:szCs w:val="12"/>
        </w:rPr>
      </w:pPr>
    </w:p>
    <w:p w:rsidR="00C64CA1" w:rsidRDefault="00C64CA1">
      <w:pPr>
        <w:pStyle w:val="Normal1"/>
        <w:spacing w:before="9"/>
        <w:rPr>
          <w:sz w:val="12"/>
          <w:szCs w:val="12"/>
        </w:rPr>
      </w:pPr>
    </w:p>
    <w:tbl>
      <w:tblPr>
        <w:tblStyle w:val="a"/>
        <w:tblW w:w="8200" w:type="dxa"/>
        <w:jc w:val="center"/>
        <w:tblInd w:w="0" w:type="dxa"/>
        <w:tblLayout w:type="fixed"/>
        <w:tblLook w:val="0400" w:firstRow="0" w:lastRow="0" w:firstColumn="0" w:lastColumn="0" w:noHBand="0" w:noVBand="1"/>
      </w:tblPr>
      <w:tblGrid>
        <w:gridCol w:w="5920"/>
        <w:gridCol w:w="2280"/>
      </w:tblGrid>
      <w:tr w:rsidR="00C64CA1">
        <w:trPr>
          <w:trHeight w:val="420"/>
          <w:jc w:val="center"/>
        </w:trPr>
        <w:tc>
          <w:tcPr>
            <w:tcW w:w="5920" w:type="dxa"/>
            <w:tcBorders>
              <w:top w:val="single" w:sz="8" w:space="0" w:color="FFFFCC"/>
              <w:left w:val="single" w:sz="8" w:space="0" w:color="FFFFCC"/>
              <w:bottom w:val="single" w:sz="8" w:space="0" w:color="FFFFCC"/>
              <w:right w:val="single" w:sz="8" w:space="0" w:color="FFFFCC"/>
            </w:tcBorders>
            <w:shd w:val="clear" w:color="auto" w:fill="D9D9D9"/>
            <w:vAlign w:val="center"/>
          </w:tcPr>
          <w:p w:rsidR="00C64CA1" w:rsidRDefault="00501F6B">
            <w:pPr>
              <w:pStyle w:val="Normal1"/>
              <w:jc w:val="center"/>
              <w:rPr>
                <w:rFonts w:ascii="Arial" w:eastAsia="Arial" w:hAnsi="Arial" w:cs="Arial"/>
                <w:b/>
                <w:color w:val="000000"/>
              </w:rPr>
            </w:pPr>
            <w:r>
              <w:rPr>
                <w:rFonts w:ascii="Arial" w:eastAsia="Arial" w:hAnsi="Arial" w:cs="Arial"/>
                <w:b/>
                <w:color w:val="000000"/>
              </w:rPr>
              <w:t>DESCRIÇÃO</w:t>
            </w:r>
          </w:p>
        </w:tc>
        <w:tc>
          <w:tcPr>
            <w:tcW w:w="2280" w:type="dxa"/>
            <w:tcBorders>
              <w:top w:val="single" w:sz="8" w:space="0" w:color="FFFFCC"/>
              <w:left w:val="nil"/>
              <w:bottom w:val="single" w:sz="8" w:space="0" w:color="FFFFCC"/>
              <w:right w:val="single" w:sz="8" w:space="0" w:color="FFFFCC"/>
            </w:tcBorders>
            <w:shd w:val="clear" w:color="auto" w:fill="D9D9D9"/>
            <w:vAlign w:val="center"/>
          </w:tcPr>
          <w:p w:rsidR="00C64CA1" w:rsidRDefault="00501F6B">
            <w:pPr>
              <w:pStyle w:val="Normal1"/>
              <w:jc w:val="center"/>
              <w:rPr>
                <w:rFonts w:ascii="Arial" w:eastAsia="Arial" w:hAnsi="Arial" w:cs="Arial"/>
                <w:b/>
                <w:color w:val="000000"/>
              </w:rPr>
            </w:pPr>
            <w:r>
              <w:rPr>
                <w:rFonts w:ascii="Arial" w:eastAsia="Arial" w:hAnsi="Arial" w:cs="Arial"/>
                <w:b/>
                <w:color w:val="000000"/>
              </w:rPr>
              <w:t>PREVISÃO INICIAL</w:t>
            </w:r>
          </w:p>
        </w:tc>
      </w:tr>
      <w:tr w:rsidR="00C64CA1">
        <w:trPr>
          <w:trHeight w:val="300"/>
          <w:jc w:val="center"/>
        </w:trPr>
        <w:tc>
          <w:tcPr>
            <w:tcW w:w="5920" w:type="dxa"/>
            <w:tcBorders>
              <w:top w:val="nil"/>
              <w:left w:val="single" w:sz="8" w:space="0" w:color="FFFFCC"/>
              <w:bottom w:val="nil"/>
              <w:right w:val="nil"/>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w:t>
            </w:r>
          </w:p>
        </w:tc>
        <w:tc>
          <w:tcPr>
            <w:tcW w:w="2280" w:type="dxa"/>
            <w:tcBorders>
              <w:top w:val="nil"/>
              <w:left w:val="nil"/>
              <w:bottom w:val="nil"/>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Em reais</w:t>
            </w:r>
          </w:p>
        </w:tc>
      </w:tr>
      <w:tr w:rsidR="00C64CA1">
        <w:trPr>
          <w:trHeight w:val="300"/>
          <w:jc w:val="center"/>
        </w:trPr>
        <w:tc>
          <w:tcPr>
            <w:tcW w:w="5920" w:type="dxa"/>
            <w:tcBorders>
              <w:top w:val="single" w:sz="8" w:space="0" w:color="FFFFCC"/>
              <w:left w:val="single" w:sz="8" w:space="0" w:color="FFFFCC"/>
              <w:bottom w:val="single" w:sz="8" w:space="0" w:color="000000"/>
              <w:right w:val="single" w:sz="8" w:space="0" w:color="FFFFCC"/>
            </w:tcBorders>
            <w:shd w:val="clear" w:color="auto" w:fill="D9D9D9"/>
            <w:vAlign w:val="center"/>
          </w:tcPr>
          <w:p w:rsidR="00C64CA1" w:rsidRDefault="00501F6B">
            <w:pPr>
              <w:pStyle w:val="Normal1"/>
              <w:rPr>
                <w:rFonts w:ascii="Arial" w:eastAsia="Arial" w:hAnsi="Arial" w:cs="Arial"/>
                <w:b/>
                <w:color w:val="000000"/>
              </w:rPr>
            </w:pPr>
            <w:r>
              <w:rPr>
                <w:rFonts w:ascii="Arial" w:eastAsia="Arial" w:hAnsi="Arial" w:cs="Arial"/>
                <w:b/>
                <w:color w:val="000000"/>
              </w:rPr>
              <w:t>RECEITAS CORRENTES</w:t>
            </w:r>
          </w:p>
        </w:tc>
        <w:tc>
          <w:tcPr>
            <w:tcW w:w="2280" w:type="dxa"/>
            <w:tcBorders>
              <w:top w:val="single" w:sz="8" w:space="0" w:color="FFFFCC"/>
              <w:left w:val="nil"/>
              <w:bottom w:val="single" w:sz="8" w:space="0" w:color="000000"/>
              <w:right w:val="single" w:sz="8" w:space="0" w:color="FFFFCC"/>
            </w:tcBorders>
            <w:shd w:val="clear" w:color="auto" w:fill="D9D9D9"/>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7.537.112.479</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Impostos, Taxas e Contribuições de Melhoria</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4.610.331.000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Receita de contribuições</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386.245.479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Receita patrimonial</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309.492.000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Receita agropecuária</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Receita industrial</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Receita de serviços</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265.605.000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Transferências correntes</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3.956.788.000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Outras receitas correntes</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232.810.000 </w:t>
            </w:r>
          </w:p>
        </w:tc>
      </w:tr>
      <w:tr w:rsidR="00C64CA1">
        <w:trPr>
          <w:trHeight w:val="300"/>
          <w:jc w:val="center"/>
        </w:trPr>
        <w:tc>
          <w:tcPr>
            <w:tcW w:w="5920" w:type="dxa"/>
            <w:tcBorders>
              <w:top w:val="single" w:sz="8" w:space="0" w:color="000000"/>
              <w:left w:val="single" w:sz="8" w:space="0" w:color="FFFFCC"/>
              <w:bottom w:val="single" w:sz="8" w:space="0" w:color="FFFFCC"/>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Deduções da Receita Corrente</w:t>
            </w:r>
          </w:p>
        </w:tc>
        <w:tc>
          <w:tcPr>
            <w:tcW w:w="2280" w:type="dxa"/>
            <w:tcBorders>
              <w:top w:val="single" w:sz="8" w:space="0" w:color="000000"/>
              <w:left w:val="nil"/>
              <w:bottom w:val="single" w:sz="8" w:space="0" w:color="FFFFCC"/>
              <w:right w:val="nil"/>
            </w:tcBorders>
            <w:shd w:val="clear" w:color="auto" w:fill="auto"/>
            <w:vAlign w:val="center"/>
          </w:tcPr>
          <w:p w:rsidR="00C64CA1" w:rsidRDefault="00501F6B">
            <w:pPr>
              <w:pStyle w:val="Normal1"/>
              <w:jc w:val="right"/>
              <w:rPr>
                <w:rFonts w:ascii="Arial" w:eastAsia="Arial" w:hAnsi="Arial" w:cs="Arial"/>
              </w:rPr>
            </w:pPr>
            <w:r>
              <w:rPr>
                <w:rFonts w:ascii="Arial" w:eastAsia="Arial" w:hAnsi="Arial" w:cs="Arial"/>
              </w:rPr>
              <w:t>-2.224.159.000</w:t>
            </w:r>
          </w:p>
        </w:tc>
      </w:tr>
      <w:tr w:rsidR="00C64CA1">
        <w:trPr>
          <w:trHeight w:val="300"/>
          <w:jc w:val="center"/>
        </w:trPr>
        <w:tc>
          <w:tcPr>
            <w:tcW w:w="5920" w:type="dxa"/>
            <w:tcBorders>
              <w:top w:val="nil"/>
              <w:left w:val="single" w:sz="8" w:space="0" w:color="FFFFCC"/>
              <w:bottom w:val="single" w:sz="8" w:space="0" w:color="000000"/>
              <w:right w:val="single" w:sz="8" w:space="0" w:color="FFFFCC"/>
            </w:tcBorders>
            <w:shd w:val="clear" w:color="auto" w:fill="D9D9D9"/>
            <w:vAlign w:val="center"/>
          </w:tcPr>
          <w:p w:rsidR="00C64CA1" w:rsidRDefault="00501F6B">
            <w:pPr>
              <w:pStyle w:val="Normal1"/>
              <w:rPr>
                <w:rFonts w:ascii="Arial" w:eastAsia="Arial" w:hAnsi="Arial" w:cs="Arial"/>
                <w:b/>
                <w:color w:val="000000"/>
              </w:rPr>
            </w:pPr>
            <w:r>
              <w:rPr>
                <w:rFonts w:ascii="Arial" w:eastAsia="Arial" w:hAnsi="Arial" w:cs="Arial"/>
                <w:b/>
                <w:color w:val="000000"/>
              </w:rPr>
              <w:t>RECEITA DE CAPITAL</w:t>
            </w:r>
          </w:p>
        </w:tc>
        <w:tc>
          <w:tcPr>
            <w:tcW w:w="2280" w:type="dxa"/>
            <w:tcBorders>
              <w:top w:val="nil"/>
              <w:left w:val="nil"/>
              <w:bottom w:val="single" w:sz="8" w:space="0" w:color="000000"/>
              <w:right w:val="single" w:sz="8" w:space="0" w:color="FFFFCC"/>
            </w:tcBorders>
            <w:shd w:val="clear" w:color="auto" w:fill="D9D9D9"/>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324.900.000</w:t>
            </w:r>
          </w:p>
        </w:tc>
      </w:tr>
      <w:tr w:rsidR="00C64CA1" w:rsidTr="008D5DC0">
        <w:trPr>
          <w:trHeight w:val="300"/>
          <w:jc w:val="center"/>
        </w:trPr>
        <w:tc>
          <w:tcPr>
            <w:tcW w:w="5920" w:type="dxa"/>
            <w:tcBorders>
              <w:top w:val="nil"/>
              <w:left w:val="single" w:sz="8" w:space="0" w:color="FFFFCC"/>
              <w:bottom w:val="single" w:sz="4" w:space="0" w:color="auto"/>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Operações de crédito</w:t>
            </w:r>
          </w:p>
        </w:tc>
        <w:tc>
          <w:tcPr>
            <w:tcW w:w="2280" w:type="dxa"/>
            <w:tcBorders>
              <w:top w:val="nil"/>
              <w:left w:val="nil"/>
              <w:bottom w:val="single" w:sz="4" w:space="0" w:color="auto"/>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174.068.000 </w:t>
            </w:r>
          </w:p>
        </w:tc>
      </w:tr>
      <w:tr w:rsidR="00C64CA1" w:rsidTr="008D5DC0">
        <w:trPr>
          <w:trHeight w:val="300"/>
          <w:jc w:val="center"/>
        </w:trPr>
        <w:tc>
          <w:tcPr>
            <w:tcW w:w="5920" w:type="dxa"/>
            <w:tcBorders>
              <w:top w:val="single" w:sz="4" w:space="0" w:color="auto"/>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Alienação de bens</w:t>
            </w:r>
          </w:p>
        </w:tc>
        <w:tc>
          <w:tcPr>
            <w:tcW w:w="2280" w:type="dxa"/>
            <w:tcBorders>
              <w:top w:val="single" w:sz="4" w:space="0" w:color="auto"/>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Amortizações de empréstimos</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Transferências de capital</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150.832.000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Outras receitas de capital</w:t>
            </w:r>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nil"/>
              <w:right w:val="nil"/>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w:t>
            </w:r>
          </w:p>
        </w:tc>
        <w:tc>
          <w:tcPr>
            <w:tcW w:w="2280" w:type="dxa"/>
            <w:tcBorders>
              <w:top w:val="nil"/>
              <w:left w:val="nil"/>
              <w:bottom w:val="nil"/>
              <w:right w:val="single" w:sz="8" w:space="0" w:color="FFFFCC"/>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w:t>
            </w:r>
          </w:p>
        </w:tc>
      </w:tr>
      <w:tr w:rsidR="00C64CA1">
        <w:trPr>
          <w:trHeight w:val="300"/>
          <w:jc w:val="center"/>
        </w:trPr>
        <w:tc>
          <w:tcPr>
            <w:tcW w:w="5920" w:type="dxa"/>
            <w:tcBorders>
              <w:top w:val="nil"/>
              <w:left w:val="single" w:sz="8" w:space="0" w:color="FFFFCC"/>
              <w:bottom w:val="single" w:sz="8" w:space="0" w:color="000000"/>
              <w:right w:val="nil"/>
            </w:tcBorders>
            <w:shd w:val="clear" w:color="auto" w:fill="D9D9D9"/>
            <w:vAlign w:val="center"/>
          </w:tcPr>
          <w:p w:rsidR="00C64CA1" w:rsidRDefault="00501F6B">
            <w:pPr>
              <w:pStyle w:val="Normal1"/>
              <w:rPr>
                <w:rFonts w:ascii="Arial" w:eastAsia="Arial" w:hAnsi="Arial" w:cs="Arial"/>
                <w:b/>
                <w:color w:val="000000"/>
              </w:rPr>
            </w:pPr>
            <w:r>
              <w:rPr>
                <w:rFonts w:ascii="Arial" w:eastAsia="Arial" w:hAnsi="Arial" w:cs="Arial"/>
                <w:b/>
                <w:color w:val="000000"/>
              </w:rPr>
              <w:t>RECEITA INTRA-ORÇAMENTÁRIA</w:t>
            </w:r>
          </w:p>
        </w:tc>
        <w:tc>
          <w:tcPr>
            <w:tcW w:w="2280" w:type="dxa"/>
            <w:tcBorders>
              <w:top w:val="nil"/>
              <w:left w:val="nil"/>
              <w:bottom w:val="single" w:sz="8" w:space="0" w:color="000000"/>
              <w:right w:val="single" w:sz="8" w:space="0" w:color="FFFFCC"/>
            </w:tcBorders>
            <w:shd w:val="clear" w:color="auto" w:fill="D9D9D9"/>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 xml:space="preserve">                  327.761.000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lastRenderedPageBreak/>
              <w:t xml:space="preserve">Receitas de Contribuições </w:t>
            </w:r>
            <w:proofErr w:type="spellStart"/>
            <w:r>
              <w:rPr>
                <w:rFonts w:ascii="Arial" w:eastAsia="Arial" w:hAnsi="Arial" w:cs="Arial"/>
                <w:color w:val="000000"/>
              </w:rPr>
              <w:t>Intra-Orçamentárias</w:t>
            </w:r>
            <w:proofErr w:type="spellEnd"/>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327.761.000 </w:t>
            </w:r>
          </w:p>
        </w:tc>
      </w:tr>
      <w:tr w:rsidR="00C64CA1">
        <w:trPr>
          <w:trHeight w:val="300"/>
          <w:jc w:val="center"/>
        </w:trPr>
        <w:tc>
          <w:tcPr>
            <w:tcW w:w="5920" w:type="dxa"/>
            <w:tcBorders>
              <w:top w:val="nil"/>
              <w:left w:val="single" w:sz="8" w:space="0" w:color="FFFFCC"/>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Outras Receitas Correntes </w:t>
            </w:r>
            <w:proofErr w:type="spellStart"/>
            <w:r>
              <w:rPr>
                <w:rFonts w:ascii="Arial" w:eastAsia="Arial" w:hAnsi="Arial" w:cs="Arial"/>
                <w:color w:val="000000"/>
              </w:rPr>
              <w:t>Intra-Orçamentárias</w:t>
            </w:r>
            <w:proofErr w:type="spellEnd"/>
          </w:p>
        </w:tc>
        <w:tc>
          <w:tcPr>
            <w:tcW w:w="2280" w:type="dxa"/>
            <w:tcBorders>
              <w:top w:val="nil"/>
              <w:left w:val="nil"/>
              <w:bottom w:val="single" w:sz="8" w:space="0" w:color="000000"/>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xml:space="preserve">                                -   </w:t>
            </w:r>
          </w:p>
        </w:tc>
      </w:tr>
      <w:tr w:rsidR="00C64CA1">
        <w:trPr>
          <w:trHeight w:val="300"/>
          <w:jc w:val="center"/>
        </w:trPr>
        <w:tc>
          <w:tcPr>
            <w:tcW w:w="5920" w:type="dxa"/>
            <w:tcBorders>
              <w:top w:val="nil"/>
              <w:left w:val="single" w:sz="8" w:space="0" w:color="FFFFCC"/>
              <w:bottom w:val="nil"/>
              <w:right w:val="nil"/>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w:t>
            </w:r>
          </w:p>
        </w:tc>
        <w:tc>
          <w:tcPr>
            <w:tcW w:w="2280" w:type="dxa"/>
            <w:tcBorders>
              <w:top w:val="nil"/>
              <w:left w:val="nil"/>
              <w:bottom w:val="nil"/>
              <w:right w:val="single" w:sz="8" w:space="0" w:color="FFFFCC"/>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 </w:t>
            </w:r>
          </w:p>
        </w:tc>
      </w:tr>
      <w:tr w:rsidR="00C64CA1">
        <w:trPr>
          <w:trHeight w:val="400"/>
          <w:jc w:val="center"/>
        </w:trPr>
        <w:tc>
          <w:tcPr>
            <w:tcW w:w="5920" w:type="dxa"/>
            <w:tcBorders>
              <w:top w:val="single" w:sz="8" w:space="0" w:color="FFFFCC"/>
              <w:left w:val="single" w:sz="8" w:space="0" w:color="FFFFCC"/>
              <w:bottom w:val="single" w:sz="8" w:space="0" w:color="000000"/>
              <w:right w:val="single" w:sz="8" w:space="0" w:color="FFFFCC"/>
            </w:tcBorders>
            <w:shd w:val="clear" w:color="auto" w:fill="D9D9D9"/>
            <w:vAlign w:val="center"/>
          </w:tcPr>
          <w:p w:rsidR="00C64CA1" w:rsidRDefault="00501F6B">
            <w:pPr>
              <w:pStyle w:val="Normal1"/>
              <w:jc w:val="center"/>
              <w:rPr>
                <w:rFonts w:ascii="Arial" w:eastAsia="Arial" w:hAnsi="Arial" w:cs="Arial"/>
                <w:b/>
                <w:color w:val="000000"/>
              </w:rPr>
            </w:pPr>
            <w:r>
              <w:rPr>
                <w:rFonts w:ascii="Arial" w:eastAsia="Arial" w:hAnsi="Arial" w:cs="Arial"/>
                <w:b/>
                <w:color w:val="000000"/>
              </w:rPr>
              <w:t>RECEITA TOTAL</w:t>
            </w:r>
          </w:p>
        </w:tc>
        <w:tc>
          <w:tcPr>
            <w:tcW w:w="2280" w:type="dxa"/>
            <w:tcBorders>
              <w:top w:val="single" w:sz="8" w:space="0" w:color="FFFFCC"/>
              <w:left w:val="nil"/>
              <w:bottom w:val="single" w:sz="8" w:space="0" w:color="000000"/>
              <w:right w:val="single" w:sz="8" w:space="0" w:color="FFFFCC"/>
            </w:tcBorders>
            <w:shd w:val="clear" w:color="auto" w:fill="D9D9D9"/>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8.189.773.479</w:t>
            </w:r>
          </w:p>
        </w:tc>
      </w:tr>
    </w:tbl>
    <w:p w:rsidR="00C64CA1" w:rsidRDefault="00C64CA1">
      <w:pPr>
        <w:pStyle w:val="Normal1"/>
        <w:spacing w:before="9"/>
        <w:rPr>
          <w:sz w:val="12"/>
          <w:szCs w:val="12"/>
        </w:rPr>
      </w:pPr>
    </w:p>
    <w:p w:rsidR="00C64CA1" w:rsidRPr="00442D14" w:rsidRDefault="00501F6B" w:rsidP="00442D14">
      <w:pPr>
        <w:pStyle w:val="Normal1"/>
        <w:ind w:right="13" w:firstLine="567"/>
        <w:jc w:val="both"/>
        <w:rPr>
          <w:color w:val="000000"/>
          <w:sz w:val="24"/>
          <w:szCs w:val="26"/>
        </w:rPr>
      </w:pPr>
      <w:r w:rsidRPr="00442D14">
        <w:rPr>
          <w:sz w:val="24"/>
          <w:szCs w:val="26"/>
        </w:rPr>
        <w:t>Art.</w:t>
      </w:r>
      <w:r w:rsidR="00442D14">
        <w:rPr>
          <w:sz w:val="24"/>
          <w:szCs w:val="26"/>
        </w:rPr>
        <w:t xml:space="preserve"> </w:t>
      </w:r>
      <w:r w:rsidRPr="00442D14">
        <w:rPr>
          <w:sz w:val="24"/>
          <w:szCs w:val="26"/>
        </w:rPr>
        <w:t xml:space="preserve">4º. A despesa total, no mesmo valor da receita total, é fixada em R$ 8.189.773.479,00 (oito bilhões, cento e oitenta e nove milhões, setecentos e setenta e três mil, quatrocentos e setenta e nove reais), </w:t>
      </w:r>
      <w:r w:rsidRPr="00442D14">
        <w:rPr>
          <w:color w:val="000000"/>
          <w:sz w:val="24"/>
          <w:szCs w:val="26"/>
        </w:rPr>
        <w:t>sendo:</w:t>
      </w:r>
    </w:p>
    <w:p w:rsidR="00C64CA1" w:rsidRPr="00442D14" w:rsidRDefault="00C64CA1" w:rsidP="00442D14">
      <w:pPr>
        <w:pStyle w:val="Normal1"/>
        <w:ind w:right="13" w:firstLine="567"/>
        <w:jc w:val="both"/>
        <w:rPr>
          <w:color w:val="000000"/>
          <w:sz w:val="24"/>
          <w:szCs w:val="26"/>
        </w:rPr>
      </w:pPr>
    </w:p>
    <w:p w:rsidR="00C64CA1" w:rsidRPr="00442D14" w:rsidRDefault="00442D14" w:rsidP="00442D14">
      <w:pPr>
        <w:pStyle w:val="Normal1"/>
        <w:pBdr>
          <w:top w:val="nil"/>
          <w:left w:val="nil"/>
          <w:bottom w:val="nil"/>
          <w:right w:val="nil"/>
          <w:between w:val="nil"/>
        </w:pBdr>
        <w:ind w:right="13" w:firstLine="567"/>
        <w:jc w:val="both"/>
        <w:rPr>
          <w:color w:val="000000"/>
          <w:sz w:val="24"/>
          <w:szCs w:val="26"/>
        </w:rPr>
      </w:pPr>
      <w:r>
        <w:rPr>
          <w:color w:val="000000"/>
          <w:sz w:val="24"/>
          <w:szCs w:val="26"/>
        </w:rPr>
        <w:t>I - n</w:t>
      </w:r>
      <w:r w:rsidR="00501F6B" w:rsidRPr="00442D14">
        <w:rPr>
          <w:color w:val="000000"/>
          <w:sz w:val="24"/>
          <w:szCs w:val="26"/>
        </w:rPr>
        <w:t>o Orçamento Fiscal R$ 6.026.987.511,00(seis bilhões, vinte e seis milhões, novecentos e oitenta e sete mil, quinhentos e onze reais); e</w:t>
      </w:r>
    </w:p>
    <w:p w:rsidR="00C64CA1" w:rsidRPr="00442D14" w:rsidRDefault="00C64CA1" w:rsidP="00442D14">
      <w:pPr>
        <w:pStyle w:val="Normal1"/>
        <w:ind w:right="13" w:firstLine="567"/>
        <w:rPr>
          <w:rFonts w:ascii="Arial" w:eastAsia="Arial" w:hAnsi="Arial" w:cs="Arial"/>
          <w:b/>
          <w:color w:val="000000"/>
          <w:sz w:val="24"/>
          <w:szCs w:val="26"/>
        </w:rPr>
      </w:pPr>
    </w:p>
    <w:p w:rsidR="00C64CA1" w:rsidRDefault="00501F6B" w:rsidP="00442D14">
      <w:pPr>
        <w:pStyle w:val="Normal1"/>
        <w:pBdr>
          <w:top w:val="nil"/>
          <w:left w:val="nil"/>
          <w:bottom w:val="nil"/>
          <w:right w:val="nil"/>
          <w:between w:val="nil"/>
        </w:pBdr>
        <w:ind w:right="13" w:firstLine="567"/>
        <w:jc w:val="both"/>
        <w:rPr>
          <w:color w:val="000000"/>
          <w:sz w:val="24"/>
          <w:szCs w:val="26"/>
        </w:rPr>
      </w:pPr>
      <w:r w:rsidRPr="00442D14">
        <w:rPr>
          <w:color w:val="000000"/>
          <w:sz w:val="24"/>
          <w:szCs w:val="26"/>
        </w:rPr>
        <w:t xml:space="preserve">II - </w:t>
      </w:r>
      <w:r w:rsidR="00442D14">
        <w:rPr>
          <w:color w:val="000000"/>
          <w:sz w:val="24"/>
          <w:szCs w:val="26"/>
        </w:rPr>
        <w:t>n</w:t>
      </w:r>
      <w:r w:rsidRPr="00442D14">
        <w:rPr>
          <w:color w:val="000000"/>
          <w:sz w:val="24"/>
          <w:szCs w:val="26"/>
        </w:rPr>
        <w:t>o Orçamento da Seguridade Social R$ 2.162.785.968,00 (dois bilhões, cento e sessenta e dois milhões, setecentos e oitenta e cinco mil, novecentos e sessenta e oito reais).</w:t>
      </w:r>
    </w:p>
    <w:p w:rsidR="00442D14" w:rsidRPr="00442D14" w:rsidRDefault="00442D14" w:rsidP="00442D14">
      <w:pPr>
        <w:pStyle w:val="Normal1"/>
        <w:pBdr>
          <w:top w:val="nil"/>
          <w:left w:val="nil"/>
          <w:bottom w:val="nil"/>
          <w:right w:val="nil"/>
          <w:between w:val="nil"/>
        </w:pBdr>
        <w:ind w:right="13" w:firstLine="567"/>
        <w:jc w:val="both"/>
        <w:rPr>
          <w:color w:val="000000"/>
          <w:sz w:val="24"/>
          <w:szCs w:val="26"/>
        </w:rPr>
      </w:pPr>
    </w:p>
    <w:p w:rsidR="00C64CA1" w:rsidRPr="00442D14" w:rsidRDefault="00501F6B" w:rsidP="00442D14">
      <w:pPr>
        <w:pStyle w:val="Normal1"/>
        <w:ind w:right="13" w:firstLine="567"/>
        <w:jc w:val="both"/>
        <w:rPr>
          <w:sz w:val="24"/>
          <w:szCs w:val="26"/>
        </w:rPr>
      </w:pPr>
      <w:r w:rsidRPr="00442D14">
        <w:rPr>
          <w:sz w:val="24"/>
          <w:szCs w:val="26"/>
        </w:rPr>
        <w:t>Art.</w:t>
      </w:r>
      <w:r w:rsidR="00442D14">
        <w:rPr>
          <w:sz w:val="24"/>
          <w:szCs w:val="26"/>
        </w:rPr>
        <w:t xml:space="preserve"> </w:t>
      </w:r>
      <w:r w:rsidRPr="00442D14">
        <w:rPr>
          <w:sz w:val="24"/>
          <w:szCs w:val="26"/>
        </w:rPr>
        <w:t>5º.  A despesa fixada, observada a consolidação e o detalhamento da programação constantes dos anexos desta Lei, apresenta o seguinte desdobramento:</w:t>
      </w:r>
    </w:p>
    <w:p w:rsidR="00A81FFF" w:rsidRPr="008A4F45" w:rsidRDefault="00A81FFF" w:rsidP="008D5DC0">
      <w:pPr>
        <w:pStyle w:val="Normal1"/>
        <w:ind w:right="138" w:firstLine="670"/>
        <w:jc w:val="both"/>
        <w:rPr>
          <w:sz w:val="26"/>
          <w:szCs w:val="26"/>
        </w:rPr>
      </w:pPr>
    </w:p>
    <w:p w:rsidR="00C64CA1" w:rsidRDefault="00C64CA1">
      <w:pPr>
        <w:pStyle w:val="Normal1"/>
        <w:spacing w:before="1"/>
        <w:rPr>
          <w:sz w:val="5"/>
          <w:szCs w:val="5"/>
        </w:rPr>
      </w:pPr>
    </w:p>
    <w:tbl>
      <w:tblPr>
        <w:tblStyle w:val="a0"/>
        <w:tblW w:w="10120" w:type="dxa"/>
        <w:jc w:val="center"/>
        <w:tblInd w:w="0" w:type="dxa"/>
        <w:tblLayout w:type="fixed"/>
        <w:tblLook w:val="0400" w:firstRow="0" w:lastRow="0" w:firstColumn="0" w:lastColumn="0" w:noHBand="0" w:noVBand="1"/>
      </w:tblPr>
      <w:tblGrid>
        <w:gridCol w:w="8400"/>
        <w:gridCol w:w="1720"/>
      </w:tblGrid>
      <w:tr w:rsidR="00C64CA1">
        <w:trPr>
          <w:trHeight w:val="300"/>
          <w:jc w:val="center"/>
        </w:trPr>
        <w:tc>
          <w:tcPr>
            <w:tcW w:w="8400" w:type="dxa"/>
            <w:tcBorders>
              <w:top w:val="single" w:sz="8" w:space="0" w:color="000000"/>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PODER/UNIDADE ORÇAMENTÁRIA</w:t>
            </w:r>
          </w:p>
        </w:tc>
        <w:tc>
          <w:tcPr>
            <w:tcW w:w="1720" w:type="dxa"/>
            <w:tcBorders>
              <w:top w:val="single" w:sz="8" w:space="0" w:color="000000"/>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R$ 1,00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ESPECIFICAÇÃO</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 xml:space="preserve"> VALOR </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PODER LEGISLATIVO</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396.974.000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Assembleia Legislativa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238.654.000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Tribunal de Contas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155.398.000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Desenvolvimento Institucional do Tribunal de Contas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2.922.000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PODER JUDICIÁRIO</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905.482.000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Tribunal de Justiça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685.540.000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Aperfeiçoamento dos Serviços Judiciários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94.801.000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Precatórios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125.141.000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MINISTÉRIO PÚBLICO</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294.313.557</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Ministério Público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284.413.557</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Desenvolvimento Institucional do Ministério Público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9.600.000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Reconstituição de Bens Lesados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DEFENSORIA PÚBLICA</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74.161.000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Defensoria Pública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66.647.000</w:t>
            </w:r>
          </w:p>
        </w:tc>
      </w:tr>
      <w:tr w:rsidR="00C64CA1" w:rsidTr="008D5DC0">
        <w:trPr>
          <w:trHeight w:val="300"/>
          <w:jc w:val="center"/>
        </w:trPr>
        <w:tc>
          <w:tcPr>
            <w:tcW w:w="8400" w:type="dxa"/>
            <w:tcBorders>
              <w:top w:val="single" w:sz="4" w:space="0" w:color="auto"/>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da Defensoria Pública do Estado de Rondônia</w:t>
            </w:r>
          </w:p>
        </w:tc>
        <w:tc>
          <w:tcPr>
            <w:tcW w:w="1720" w:type="dxa"/>
            <w:tcBorders>
              <w:top w:val="single" w:sz="4" w:space="0" w:color="auto"/>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7.514.000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PODER EXECUTIVO</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6.518.842.922</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b/>
                <w:color w:val="000000"/>
              </w:rPr>
            </w:pPr>
            <w:r>
              <w:rPr>
                <w:rFonts w:ascii="Arial" w:eastAsia="Arial" w:hAnsi="Arial" w:cs="Arial"/>
                <w:b/>
                <w:color w:val="000000"/>
              </w:rPr>
              <w:t>Administração Direta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3.637.551.891</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Procuradoria Geral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42.363.000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de Turismo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1.951.000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Controladoria geral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6.799.000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de Desenvolvimento Econômico e Infraestrutura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3.553.000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Superintendência Estado para Resultados </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13.464.000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Superintendência de Gestão dos Gastos Públicos Administrativos </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164.440.000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lastRenderedPageBreak/>
              <w:t>Secretaria de Estado do Planejamento, Orçamento e Gestão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285.240.266</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de Gestão de Pessoas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34.263.000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de Compras e Licitação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8.184.000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de Patrimônio e Regularização Fundiária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2.497.000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de Finanças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212.201.000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Recursos Sob a Supervisão da SEFIN</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311.605.000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de Segurança, Defesa e Cidadania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810.870.093</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Polícia Civil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7.707.000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Corpo de Bombeiro Militar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2.323.000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Polícia Militar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15.076.000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de Polícia Técnico-Científica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750.000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da Educação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1.264.145.533</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Superintendência Estadual da Juventude, Cultura, Esporte e Lazer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11.808.000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Hospital de Base Doutor Ary Pinheiro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Complexo Hospitalar Regional de Cacoal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Hospital e Pronto Socorro João Paulo II</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Policlínica Osvaldo Cruz</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Centro de Medicina Tropical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414.000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do Desenvolvimento Ambiental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34.982.000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da Agricultura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107.202.000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de Justiça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256.943.000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Secretaria de Estado de Assistência e Desenvolvimento Social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37.115.000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b/>
                <w:color w:val="000000"/>
              </w:rPr>
            </w:pPr>
            <w:r>
              <w:rPr>
                <w:rFonts w:ascii="Arial" w:eastAsia="Arial" w:hAnsi="Arial" w:cs="Arial"/>
                <w:b/>
                <w:color w:val="000000"/>
              </w:rPr>
              <w:t>Fundos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2.072.030.850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de Modernização Procuradoria-Geral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7.256.000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Investimento e Desenvolvimento Industrial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14.116.000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Previdenciário do IPERON</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454.916.479</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Previdenciário Capitalizado do IPERON</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275.879.443</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de Regularização Fundiária Urbana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103.000</w:t>
            </w:r>
          </w:p>
        </w:tc>
      </w:tr>
      <w:tr w:rsidR="00C64CA1" w:rsidTr="008D5DC0">
        <w:trPr>
          <w:trHeight w:val="300"/>
          <w:jc w:val="center"/>
        </w:trPr>
        <w:tc>
          <w:tcPr>
            <w:tcW w:w="8400" w:type="dxa"/>
            <w:tcBorders>
              <w:top w:val="nil"/>
              <w:left w:val="nil"/>
              <w:bottom w:val="single" w:sz="4" w:space="0" w:color="auto"/>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para Infraestrutura de Transporte e Habitação</w:t>
            </w:r>
          </w:p>
        </w:tc>
        <w:tc>
          <w:tcPr>
            <w:tcW w:w="1720" w:type="dxa"/>
            <w:tcBorders>
              <w:top w:val="nil"/>
              <w:left w:val="nil"/>
              <w:bottom w:val="single" w:sz="4" w:space="0" w:color="auto"/>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141.431.000</w:t>
            </w:r>
          </w:p>
        </w:tc>
      </w:tr>
      <w:tr w:rsidR="00C64CA1" w:rsidTr="000C6997">
        <w:trPr>
          <w:trHeight w:val="300"/>
          <w:jc w:val="center"/>
        </w:trPr>
        <w:tc>
          <w:tcPr>
            <w:tcW w:w="8400" w:type="dxa"/>
            <w:tcBorders>
              <w:top w:val="single" w:sz="4" w:space="0" w:color="auto"/>
              <w:left w:val="nil"/>
              <w:bottom w:val="single" w:sz="4" w:space="0" w:color="auto"/>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Fundo de Desenvolvimento e Aperfeiçoamento da Administração Tributária </w:t>
            </w:r>
          </w:p>
        </w:tc>
        <w:tc>
          <w:tcPr>
            <w:tcW w:w="1720" w:type="dxa"/>
            <w:tcBorders>
              <w:top w:val="single" w:sz="4" w:space="0" w:color="auto"/>
              <w:left w:val="nil"/>
              <w:bottom w:val="single" w:sz="4" w:space="0" w:color="auto"/>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2.809.000</w:t>
            </w:r>
          </w:p>
        </w:tc>
      </w:tr>
      <w:tr w:rsidR="00C64CA1" w:rsidTr="000C6997">
        <w:trPr>
          <w:trHeight w:val="300"/>
          <w:jc w:val="center"/>
        </w:trPr>
        <w:tc>
          <w:tcPr>
            <w:tcW w:w="8400" w:type="dxa"/>
            <w:tcBorders>
              <w:top w:val="single" w:sz="4" w:space="0" w:color="auto"/>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de Reequipamento Policial</w:t>
            </w:r>
          </w:p>
        </w:tc>
        <w:tc>
          <w:tcPr>
            <w:tcW w:w="1720" w:type="dxa"/>
            <w:tcBorders>
              <w:top w:val="single" w:sz="4" w:space="0" w:color="auto"/>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2.165.000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do Corpo de Bombeiros Militar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8.929.000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de Modernização e Reaparelhamento da Polícia Militar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849.000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de Desenvolvimento da Cultura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1.000.000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de prevenção, fiscalização e repressão de entorpecentes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de Saúde</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1.091.032.928</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Especial de Proteção Ambiental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8.925.000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Apoio à Cultura do Café em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36.000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de Sanidade Animal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16.664.000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de Inv. e Apoio ao Programa de Desenvolvimento da Pecuária Leiteira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9.842.000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Penitenciário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15.048.000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de Combate e Erradicação da Pobreza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17.895.000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lastRenderedPageBreak/>
              <w:t>Fundo Estadual de Assistência Social</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613.000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dos Direitos da Criança e do Adolescente</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110.000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BC31FC">
            <w:pPr>
              <w:pStyle w:val="Normal1"/>
              <w:rPr>
                <w:rFonts w:ascii="Arial" w:eastAsia="Arial" w:hAnsi="Arial" w:cs="Arial"/>
                <w:color w:val="000000"/>
              </w:rPr>
            </w:pPr>
            <w:r>
              <w:rPr>
                <w:rFonts w:ascii="Arial" w:eastAsia="Arial" w:hAnsi="Arial" w:cs="Arial"/>
                <w:color w:val="000000"/>
              </w:rPr>
              <w:t xml:space="preserve">Fundo Estadual de Defesa </w:t>
            </w:r>
            <w:r w:rsidR="00501F6B">
              <w:rPr>
                <w:rFonts w:ascii="Arial" w:eastAsia="Arial" w:hAnsi="Arial" w:cs="Arial"/>
                <w:color w:val="000000"/>
              </w:rPr>
              <w:t>do Consumidor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311.000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dos Direitos da Pessoa Idosa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500.000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Fundo Estadual dos Direitos da Mulher</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1.000.000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b/>
                <w:color w:val="000000"/>
              </w:rPr>
            </w:pPr>
            <w:r>
              <w:rPr>
                <w:rFonts w:ascii="Arial" w:eastAsia="Arial" w:hAnsi="Arial" w:cs="Arial"/>
                <w:b/>
                <w:color w:val="000000"/>
              </w:rPr>
              <w:t>Fundações e Autarquias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b/>
                <w:color w:val="000000"/>
              </w:rPr>
            </w:pPr>
            <w:r>
              <w:rPr>
                <w:rFonts w:ascii="Arial" w:eastAsia="Arial" w:hAnsi="Arial" w:cs="Arial"/>
                <w:b/>
                <w:color w:val="000000"/>
              </w:rPr>
              <w:t>809.260.182</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Junta Comercial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8.822.000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Instituto de Pesos e Medidas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6.701.000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Departamento Estadual de Estradas, Rodagem, Infraestrutura e Serviços Públicos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224.737.401</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Agência de Regulação de Serviços Públicos Delegados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1.375.000</w:t>
            </w:r>
          </w:p>
        </w:tc>
      </w:tr>
      <w:tr w:rsidR="00C64CA1">
        <w:trPr>
          <w:trHeight w:val="52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Fundação Rondônia de Amparo ao Desenvolvimento das Ações Cientificas, Tecnológicas e a Pesquisa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3.155.000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Instituto de Previdência dos Servidores Públicos</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31.444.000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Departamento Estadual de Trânsito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247.867.000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Instituto Estadual de Desenvolvimento da Educação Profissional - IDEP </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8.709.000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Fundação Cultural do Estado de Rondônia </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5.700.000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Fundação de Hematologia e Hemoterapia do Estado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34.304.000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Centro de Educação Técnica Profissional da Área de Saúde</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2.580.000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Agência Estadual de Vigilância e Saúde</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19.909.781</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 xml:space="preserve">Agência de Defesa Sanitária </w:t>
            </w:r>
            <w:proofErr w:type="spellStart"/>
            <w:r>
              <w:rPr>
                <w:rFonts w:ascii="Arial" w:eastAsia="Arial" w:hAnsi="Arial" w:cs="Arial"/>
                <w:color w:val="000000"/>
              </w:rPr>
              <w:t>Agrosilvopastoril</w:t>
            </w:r>
            <w:proofErr w:type="spellEnd"/>
            <w:r>
              <w:rPr>
                <w:rFonts w:ascii="Arial" w:eastAsia="Arial" w:hAnsi="Arial" w:cs="Arial"/>
                <w:color w:val="000000"/>
              </w:rPr>
              <w:t xml:space="preserve">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93.681.000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Entidade Autárquica de Assistência Técnica e Extensão Rural do Estado de Rondônia</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91.359.000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auto"/>
            <w:vAlign w:val="center"/>
          </w:tcPr>
          <w:p w:rsidR="00C64CA1" w:rsidRDefault="00501F6B">
            <w:pPr>
              <w:pStyle w:val="Normal1"/>
              <w:rPr>
                <w:rFonts w:ascii="Arial" w:eastAsia="Arial" w:hAnsi="Arial" w:cs="Arial"/>
                <w:color w:val="000000"/>
              </w:rPr>
            </w:pPr>
            <w:r>
              <w:rPr>
                <w:rFonts w:ascii="Arial" w:eastAsia="Arial" w:hAnsi="Arial" w:cs="Arial"/>
                <w:color w:val="000000"/>
              </w:rPr>
              <w:t>Fundação Estadual de Atendimento Socioeducativo</w:t>
            </w:r>
          </w:p>
        </w:tc>
        <w:tc>
          <w:tcPr>
            <w:tcW w:w="1720" w:type="dxa"/>
            <w:tcBorders>
              <w:top w:val="nil"/>
              <w:left w:val="nil"/>
              <w:bottom w:val="single" w:sz="8" w:space="0" w:color="000000"/>
              <w:right w:val="nil"/>
            </w:tcBorders>
            <w:shd w:val="clear" w:color="auto" w:fill="auto"/>
            <w:vAlign w:val="center"/>
          </w:tcPr>
          <w:p w:rsidR="00C64CA1" w:rsidRDefault="00501F6B">
            <w:pPr>
              <w:pStyle w:val="Normal1"/>
              <w:jc w:val="right"/>
              <w:rPr>
                <w:rFonts w:ascii="Arial" w:eastAsia="Arial" w:hAnsi="Arial" w:cs="Arial"/>
                <w:color w:val="000000"/>
              </w:rPr>
            </w:pPr>
            <w:r>
              <w:rPr>
                <w:rFonts w:ascii="Arial" w:eastAsia="Arial" w:hAnsi="Arial" w:cs="Arial"/>
                <w:color w:val="000000"/>
              </w:rPr>
              <w:t>28.916.000</w:t>
            </w:r>
          </w:p>
        </w:tc>
      </w:tr>
      <w:tr w:rsidR="00C64CA1">
        <w:trPr>
          <w:trHeight w:val="300"/>
          <w:jc w:val="center"/>
        </w:trPr>
        <w:tc>
          <w:tcPr>
            <w:tcW w:w="8400" w:type="dxa"/>
            <w:tcBorders>
              <w:top w:val="nil"/>
              <w:left w:val="nil"/>
              <w:bottom w:val="single" w:sz="8" w:space="0" w:color="000000"/>
              <w:right w:val="single" w:sz="8" w:space="0" w:color="000000"/>
            </w:tcBorders>
            <w:shd w:val="clear" w:color="auto" w:fill="D3D3D3"/>
            <w:vAlign w:val="center"/>
          </w:tcPr>
          <w:p w:rsidR="00C64CA1" w:rsidRDefault="00501F6B">
            <w:pPr>
              <w:pStyle w:val="Normal1"/>
              <w:jc w:val="center"/>
              <w:rPr>
                <w:rFonts w:ascii="Arial" w:eastAsia="Arial" w:hAnsi="Arial" w:cs="Arial"/>
                <w:b/>
                <w:color w:val="000000"/>
              </w:rPr>
            </w:pPr>
            <w:r>
              <w:rPr>
                <w:rFonts w:ascii="Arial" w:eastAsia="Arial" w:hAnsi="Arial" w:cs="Arial"/>
                <w:b/>
                <w:color w:val="000000"/>
              </w:rPr>
              <w:t>TOTAL</w:t>
            </w:r>
          </w:p>
        </w:tc>
        <w:tc>
          <w:tcPr>
            <w:tcW w:w="1720" w:type="dxa"/>
            <w:tcBorders>
              <w:top w:val="nil"/>
              <w:left w:val="nil"/>
              <w:bottom w:val="single" w:sz="8" w:space="0" w:color="000000"/>
              <w:right w:val="nil"/>
            </w:tcBorders>
            <w:shd w:val="clear" w:color="auto" w:fill="D3D3D3"/>
            <w:vAlign w:val="center"/>
          </w:tcPr>
          <w:p w:rsidR="00C64CA1" w:rsidRDefault="00501F6B">
            <w:pPr>
              <w:pStyle w:val="Normal1"/>
              <w:rPr>
                <w:rFonts w:ascii="Arial" w:eastAsia="Arial" w:hAnsi="Arial" w:cs="Arial"/>
                <w:b/>
                <w:color w:val="000000"/>
              </w:rPr>
            </w:pPr>
            <w:r>
              <w:rPr>
                <w:rFonts w:ascii="Arial" w:eastAsia="Arial" w:hAnsi="Arial" w:cs="Arial"/>
                <w:b/>
                <w:color w:val="000000"/>
              </w:rPr>
              <w:t xml:space="preserve">8.189.773.479,00 </w:t>
            </w:r>
          </w:p>
        </w:tc>
      </w:tr>
    </w:tbl>
    <w:p w:rsidR="00C64CA1" w:rsidRDefault="00C64CA1">
      <w:pPr>
        <w:pStyle w:val="Normal1"/>
        <w:rPr>
          <w:sz w:val="12"/>
          <w:szCs w:val="12"/>
        </w:rPr>
      </w:pPr>
    </w:p>
    <w:p w:rsidR="00C64CA1" w:rsidRPr="00BC31FC" w:rsidRDefault="00501F6B" w:rsidP="000D35AD">
      <w:pPr>
        <w:pStyle w:val="Normal1"/>
        <w:ind w:right="13" w:firstLine="567"/>
        <w:jc w:val="both"/>
        <w:rPr>
          <w:sz w:val="24"/>
          <w:szCs w:val="26"/>
        </w:rPr>
      </w:pPr>
      <w:r w:rsidRPr="00BC31FC">
        <w:rPr>
          <w:sz w:val="24"/>
          <w:szCs w:val="26"/>
        </w:rPr>
        <w:t>§</w:t>
      </w:r>
      <w:r w:rsidR="00BC31FC">
        <w:rPr>
          <w:sz w:val="24"/>
          <w:szCs w:val="26"/>
        </w:rPr>
        <w:t xml:space="preserve"> </w:t>
      </w:r>
      <w:r w:rsidRPr="00BC31FC">
        <w:rPr>
          <w:sz w:val="24"/>
          <w:szCs w:val="26"/>
        </w:rPr>
        <w:t>1º. Integram o Orçamento Fiscal as dotações orçamentárias à conta do Tesouro do Estado destinadas às Empresas, a título de subscrição de ações, subvenção econômica e contribuição corrente.</w:t>
      </w:r>
    </w:p>
    <w:p w:rsidR="00C64CA1" w:rsidRPr="00BC31FC" w:rsidRDefault="00C64CA1" w:rsidP="000D35AD">
      <w:pPr>
        <w:pStyle w:val="Normal1"/>
        <w:ind w:right="13" w:firstLine="567"/>
        <w:rPr>
          <w:sz w:val="24"/>
          <w:szCs w:val="26"/>
        </w:rPr>
      </w:pPr>
    </w:p>
    <w:p w:rsidR="00C64CA1" w:rsidRPr="00BC31FC" w:rsidRDefault="00501F6B" w:rsidP="000D35AD">
      <w:pPr>
        <w:pStyle w:val="Normal1"/>
        <w:ind w:right="13" w:firstLine="567"/>
        <w:jc w:val="both"/>
        <w:rPr>
          <w:sz w:val="24"/>
          <w:szCs w:val="26"/>
        </w:rPr>
      </w:pPr>
      <w:r w:rsidRPr="00BC31FC">
        <w:rPr>
          <w:sz w:val="24"/>
          <w:szCs w:val="26"/>
        </w:rPr>
        <w:t>§</w:t>
      </w:r>
      <w:r w:rsidR="00BC31FC">
        <w:rPr>
          <w:sz w:val="24"/>
          <w:szCs w:val="26"/>
        </w:rPr>
        <w:t xml:space="preserve"> </w:t>
      </w:r>
      <w:r w:rsidRPr="00BC31FC">
        <w:rPr>
          <w:sz w:val="24"/>
          <w:szCs w:val="26"/>
        </w:rPr>
        <w:t>2º. Integram o Orçamento Fiscal ou o da Seguridade Social, conforme o vínculo institucional de cada uma das entidades, as dotações orçamentárias à conta do Tesouro do Estado, destinadas às Fundações, Autarquias e Fundos.</w:t>
      </w:r>
    </w:p>
    <w:p w:rsidR="00C64CA1" w:rsidRPr="00BC31FC" w:rsidRDefault="00C64CA1" w:rsidP="000D35AD">
      <w:pPr>
        <w:pStyle w:val="Normal1"/>
        <w:ind w:right="13" w:firstLine="567"/>
        <w:jc w:val="both"/>
        <w:rPr>
          <w:sz w:val="24"/>
          <w:szCs w:val="26"/>
        </w:rPr>
      </w:pPr>
    </w:p>
    <w:p w:rsidR="00C64CA1" w:rsidRPr="00BC31FC" w:rsidRDefault="00501F6B" w:rsidP="000D35AD">
      <w:pPr>
        <w:pStyle w:val="Normal1"/>
        <w:ind w:right="13" w:firstLine="567"/>
        <w:jc w:val="both"/>
        <w:rPr>
          <w:sz w:val="24"/>
          <w:szCs w:val="26"/>
        </w:rPr>
      </w:pPr>
      <w:r w:rsidRPr="00BC31FC">
        <w:rPr>
          <w:sz w:val="24"/>
          <w:szCs w:val="26"/>
        </w:rPr>
        <w:t>§</w:t>
      </w:r>
      <w:r w:rsidR="00BC31FC">
        <w:rPr>
          <w:sz w:val="24"/>
          <w:szCs w:val="26"/>
        </w:rPr>
        <w:t xml:space="preserve"> </w:t>
      </w:r>
      <w:r w:rsidRPr="00BC31FC">
        <w:rPr>
          <w:sz w:val="24"/>
          <w:szCs w:val="26"/>
        </w:rPr>
        <w:t>3º. De acordo com o desdobramento fixado no caput</w:t>
      </w:r>
      <w:r w:rsidRPr="00BC31FC">
        <w:rPr>
          <w:i/>
          <w:sz w:val="24"/>
          <w:szCs w:val="26"/>
        </w:rPr>
        <w:t xml:space="preserve"> </w:t>
      </w:r>
      <w:r w:rsidRPr="00BC31FC">
        <w:rPr>
          <w:sz w:val="24"/>
          <w:szCs w:val="26"/>
        </w:rPr>
        <w:t xml:space="preserve">deste artigo, a Secretaria de Estado do Planejamento, Orçamento e Gestão </w:t>
      </w:r>
      <w:r w:rsidR="00BC31FC">
        <w:rPr>
          <w:sz w:val="24"/>
          <w:szCs w:val="26"/>
        </w:rPr>
        <w:t xml:space="preserve">- </w:t>
      </w:r>
      <w:r w:rsidRPr="00BC31FC">
        <w:rPr>
          <w:sz w:val="24"/>
          <w:szCs w:val="26"/>
        </w:rPr>
        <w:t>SEPOG fará os ajustes necessários nos valores constantes do Quadro de Detalhamento d</w:t>
      </w:r>
      <w:r w:rsidR="00BC31FC">
        <w:rPr>
          <w:sz w:val="24"/>
          <w:szCs w:val="26"/>
        </w:rPr>
        <w:t>e Despesas -</w:t>
      </w:r>
      <w:r w:rsidRPr="00BC31FC">
        <w:rPr>
          <w:sz w:val="24"/>
          <w:szCs w:val="26"/>
        </w:rPr>
        <w:t xml:space="preserve"> QDD do orçamento do exercício, para adequá-lo às emendas de despesas aprovadas pelo Poder Legislativo.</w:t>
      </w:r>
    </w:p>
    <w:p w:rsidR="00C64CA1" w:rsidRPr="00BC31FC" w:rsidRDefault="00C64CA1" w:rsidP="000D35AD">
      <w:pPr>
        <w:pStyle w:val="Normal1"/>
        <w:ind w:right="13" w:firstLine="567"/>
        <w:jc w:val="both"/>
        <w:rPr>
          <w:sz w:val="24"/>
          <w:szCs w:val="26"/>
        </w:rPr>
      </w:pPr>
    </w:p>
    <w:p w:rsidR="00C64CA1" w:rsidRPr="00BC31FC" w:rsidRDefault="00501F6B" w:rsidP="000D35AD">
      <w:pPr>
        <w:pStyle w:val="Normal1"/>
        <w:ind w:right="13" w:firstLine="567"/>
        <w:jc w:val="both"/>
        <w:rPr>
          <w:sz w:val="24"/>
          <w:szCs w:val="26"/>
        </w:rPr>
      </w:pPr>
      <w:r w:rsidRPr="00BC31FC">
        <w:rPr>
          <w:sz w:val="24"/>
          <w:szCs w:val="26"/>
        </w:rPr>
        <w:t>§</w:t>
      </w:r>
      <w:r w:rsidR="00BC31FC">
        <w:rPr>
          <w:sz w:val="24"/>
          <w:szCs w:val="26"/>
        </w:rPr>
        <w:t xml:space="preserve"> </w:t>
      </w:r>
      <w:r w:rsidRPr="00BC31FC">
        <w:rPr>
          <w:sz w:val="24"/>
          <w:szCs w:val="26"/>
        </w:rPr>
        <w:t xml:space="preserve">4º. Em virtude da reclassificação das fontes de recursos prevista no art. 5º, §§7º, 8º e 9º da Lei Estadual n. 4.337, de 24 de julho de 2018 </w:t>
      </w:r>
      <w:r w:rsidR="00BC31FC">
        <w:rPr>
          <w:sz w:val="24"/>
          <w:szCs w:val="26"/>
        </w:rPr>
        <w:t>-</w:t>
      </w:r>
      <w:r w:rsidRPr="00BC31FC">
        <w:rPr>
          <w:sz w:val="24"/>
          <w:szCs w:val="26"/>
        </w:rPr>
        <w:t xml:space="preserve"> LDO 2019 e, para efeito do disposto de que trata o caput deste artigo, na identificação das Fontes de Recursos na despesa em equilíbrio com a receita prevista nesta Lei, considera-se como fonte/destinação 0100 - Recursos do Tesouro/ordinários, a somatória das fontes de recursos 0100 - Recurs</w:t>
      </w:r>
      <w:r w:rsidR="00F845F6">
        <w:rPr>
          <w:sz w:val="24"/>
          <w:szCs w:val="26"/>
        </w:rPr>
        <w:t>os do Tesouro/ordinários, 0110 -</w:t>
      </w:r>
      <w:r w:rsidRPr="00BC31FC">
        <w:rPr>
          <w:sz w:val="24"/>
          <w:szCs w:val="26"/>
        </w:rPr>
        <w:t xml:space="preserve"> Recursos para apoio das Ações e Serviços de Saúde, 0112 </w:t>
      </w:r>
      <w:r w:rsidR="000D35AD">
        <w:rPr>
          <w:sz w:val="24"/>
          <w:szCs w:val="26"/>
        </w:rPr>
        <w:t>-</w:t>
      </w:r>
      <w:r w:rsidRPr="00BC31FC">
        <w:rPr>
          <w:sz w:val="24"/>
          <w:szCs w:val="26"/>
        </w:rPr>
        <w:t xml:space="preserve"> Recursos Destinados à Manutenção e Desenvolvimento do Ensino, 0147 </w:t>
      </w:r>
      <w:r w:rsidR="000D35AD">
        <w:rPr>
          <w:sz w:val="24"/>
          <w:szCs w:val="26"/>
        </w:rPr>
        <w:t>-</w:t>
      </w:r>
      <w:r w:rsidRPr="00BC31FC">
        <w:rPr>
          <w:sz w:val="24"/>
          <w:szCs w:val="26"/>
        </w:rPr>
        <w:t xml:space="preserve"> Recursos de Con</w:t>
      </w:r>
      <w:r w:rsidR="000D35AD">
        <w:rPr>
          <w:sz w:val="24"/>
          <w:szCs w:val="26"/>
        </w:rPr>
        <w:t>tingenciamento Especial e 1100 -</w:t>
      </w:r>
      <w:r w:rsidRPr="00BC31FC">
        <w:rPr>
          <w:sz w:val="24"/>
          <w:szCs w:val="26"/>
        </w:rPr>
        <w:t xml:space="preserve"> Recurso</w:t>
      </w:r>
      <w:r w:rsidR="000D35AD">
        <w:rPr>
          <w:sz w:val="24"/>
          <w:szCs w:val="26"/>
        </w:rPr>
        <w:t>s Ordinários -</w:t>
      </w:r>
      <w:r w:rsidRPr="00BC31FC">
        <w:rPr>
          <w:sz w:val="24"/>
          <w:szCs w:val="26"/>
        </w:rPr>
        <w:t xml:space="preserve"> Contrapartida.</w:t>
      </w:r>
    </w:p>
    <w:p w:rsidR="00C64CA1" w:rsidRPr="00BC31FC" w:rsidRDefault="00C64CA1" w:rsidP="000D35AD">
      <w:pPr>
        <w:pStyle w:val="Normal1"/>
        <w:ind w:right="13" w:firstLine="567"/>
        <w:jc w:val="both"/>
        <w:rPr>
          <w:sz w:val="24"/>
          <w:szCs w:val="26"/>
        </w:rPr>
      </w:pPr>
    </w:p>
    <w:p w:rsidR="00C64CA1" w:rsidRPr="00BC31FC" w:rsidRDefault="00501F6B" w:rsidP="000D35AD">
      <w:pPr>
        <w:pStyle w:val="Normal1"/>
        <w:ind w:right="13" w:firstLine="567"/>
        <w:jc w:val="both"/>
        <w:rPr>
          <w:sz w:val="24"/>
          <w:szCs w:val="26"/>
        </w:rPr>
      </w:pPr>
      <w:r w:rsidRPr="00BC31FC">
        <w:rPr>
          <w:sz w:val="24"/>
          <w:szCs w:val="26"/>
        </w:rPr>
        <w:t>Art.</w:t>
      </w:r>
      <w:r w:rsidR="00F845F6">
        <w:rPr>
          <w:sz w:val="24"/>
          <w:szCs w:val="26"/>
        </w:rPr>
        <w:t xml:space="preserve"> </w:t>
      </w:r>
      <w:r w:rsidRPr="00BC31FC">
        <w:rPr>
          <w:sz w:val="24"/>
          <w:szCs w:val="26"/>
        </w:rPr>
        <w:t>6°. Todas as despesas autorizadas nesta Lei e classificadas como pessoal e encargos sociais só poderão ser remanejadas para outros grupos de despesas com autorização legislativa.</w:t>
      </w:r>
    </w:p>
    <w:p w:rsidR="00C64CA1" w:rsidRPr="00BC31FC" w:rsidRDefault="00501F6B" w:rsidP="000D35AD">
      <w:pPr>
        <w:pStyle w:val="Normal1"/>
        <w:ind w:firstLine="567"/>
        <w:jc w:val="both"/>
        <w:rPr>
          <w:sz w:val="24"/>
          <w:szCs w:val="26"/>
        </w:rPr>
      </w:pPr>
      <w:r w:rsidRPr="00BC31FC">
        <w:rPr>
          <w:sz w:val="24"/>
          <w:szCs w:val="26"/>
        </w:rPr>
        <w:lastRenderedPageBreak/>
        <w:t>Art.</w:t>
      </w:r>
      <w:r w:rsidR="00CC3DC4">
        <w:rPr>
          <w:sz w:val="24"/>
          <w:szCs w:val="26"/>
        </w:rPr>
        <w:t xml:space="preserve"> </w:t>
      </w:r>
      <w:r w:rsidRPr="00BC31FC">
        <w:rPr>
          <w:sz w:val="24"/>
          <w:szCs w:val="26"/>
        </w:rPr>
        <w:t>7°. A Secretaria de Estado de Planejamento, Orçamento e Gestão – SEPOG divulgará o Quadro de Detalhamento da Despesa - QDD, especificando para cada categoria de programação, no seu menor nível, os elementos de despesa, com os valores fixados no desdobramento da despesa previsto no artigo 5º desta Lei.</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w:t>
      </w:r>
      <w:r w:rsidR="00CC3DC4">
        <w:rPr>
          <w:sz w:val="24"/>
          <w:szCs w:val="26"/>
        </w:rPr>
        <w:t xml:space="preserve"> </w:t>
      </w:r>
      <w:r w:rsidRPr="00BC31FC">
        <w:rPr>
          <w:sz w:val="24"/>
          <w:szCs w:val="26"/>
        </w:rPr>
        <w:t>1</w:t>
      </w:r>
      <w:r w:rsidR="00CC3DC4">
        <w:rPr>
          <w:sz w:val="24"/>
          <w:szCs w:val="26"/>
        </w:rPr>
        <w:t>º</w:t>
      </w:r>
      <w:r w:rsidRPr="00BC31FC">
        <w:rPr>
          <w:sz w:val="24"/>
          <w:szCs w:val="26"/>
        </w:rPr>
        <w:t>. Considerando o artigo 6</w:t>
      </w:r>
      <w:r w:rsidR="00CC3DC4">
        <w:rPr>
          <w:sz w:val="24"/>
          <w:szCs w:val="26"/>
        </w:rPr>
        <w:t>º</w:t>
      </w:r>
      <w:r w:rsidRPr="00BC31FC">
        <w:rPr>
          <w:sz w:val="24"/>
          <w:szCs w:val="26"/>
        </w:rPr>
        <w:t xml:space="preserve"> da Portaria Interministerial n°163, de 4 de maio de 2001 e o artigo 5º da Lei Estadual n.</w:t>
      </w:r>
      <w:r w:rsidR="00485232">
        <w:rPr>
          <w:sz w:val="24"/>
          <w:szCs w:val="26"/>
        </w:rPr>
        <w:t xml:space="preserve"> 4.337, de 24 de julho de 2018 -</w:t>
      </w:r>
      <w:r w:rsidRPr="00BC31FC">
        <w:rPr>
          <w:sz w:val="24"/>
          <w:szCs w:val="26"/>
        </w:rPr>
        <w:t xml:space="preserve"> LDO 2019, a qual dispõe sobre a discriminação mínima da despesa na Lei Orçamentária até a modalidade de aplicação, a SEPOG, no âmbito do Poder Executivo, bem como os demais Poderes e unidades orçamentárias autônomas, por ato próprio, durante a execução orçamentária, promoverão os ajustes necessários ao Quadro de Detalhamento da Despesa, em nível de elemento, para atender as necessidades supervenientes.</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 2º. Inclui-se no disposto do § 1º deste artigo os ajustes entre as fontes de recursos próprios e de contrapartida, bem como os ajustes entre o grupo Destinação de Recursos quando destinados à adequação da identificação dos recursos do exercício corrente e de exercícios anteriores, observado o agrupamento correspondente e a disponibilidade financeira.</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 8º. No curso da execução orçamentária fica autorizado o remanejamento de dotações orçamentárias, de uma mesma ação, ou de uma ação para outra, de uma mesma categoria econômica, ou de uma categoria econômica para outra, dentro da mesma unidade orçamentária, até o limite de 20% (vinte por cento) da dotação da Unidade Orçamentária, devendo ser preservada as dotações para execução das despesas decorrentes de Emendas Parlamentares.</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w:t>
      </w:r>
      <w:r w:rsidR="00485232">
        <w:rPr>
          <w:sz w:val="24"/>
          <w:szCs w:val="26"/>
        </w:rPr>
        <w:t xml:space="preserve"> </w:t>
      </w:r>
      <w:r w:rsidRPr="00BC31FC">
        <w:rPr>
          <w:sz w:val="24"/>
          <w:szCs w:val="26"/>
        </w:rPr>
        <w:t xml:space="preserve">1º. O remanejamento de que trata o caput deste artigo será realizado através de atos próprios do Chefe do Poder Executivo, dos Presidentes do Tribunal de Justiça, da </w:t>
      </w:r>
      <w:r w:rsidR="00485232" w:rsidRPr="00BC31FC">
        <w:rPr>
          <w:sz w:val="24"/>
          <w:szCs w:val="26"/>
        </w:rPr>
        <w:t>Assembleia</w:t>
      </w:r>
      <w:r w:rsidRPr="00BC31FC">
        <w:rPr>
          <w:sz w:val="24"/>
          <w:szCs w:val="26"/>
        </w:rPr>
        <w:t xml:space="preserve"> Legislativa e do Tribunal de Contas do Estado, do Procurador Geral do Ministério Público e do Defensor Geral da Defensoria Pública.</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w:t>
      </w:r>
      <w:r w:rsidR="00485232">
        <w:rPr>
          <w:sz w:val="24"/>
          <w:szCs w:val="26"/>
        </w:rPr>
        <w:t xml:space="preserve"> </w:t>
      </w:r>
      <w:r w:rsidRPr="00BC31FC">
        <w:rPr>
          <w:sz w:val="24"/>
          <w:szCs w:val="26"/>
        </w:rPr>
        <w:t>2</w:t>
      </w:r>
      <w:r w:rsidR="00485232">
        <w:rPr>
          <w:sz w:val="24"/>
          <w:szCs w:val="26"/>
        </w:rPr>
        <w:t>º</w:t>
      </w:r>
      <w:r w:rsidRPr="00BC31FC">
        <w:rPr>
          <w:sz w:val="24"/>
          <w:szCs w:val="26"/>
        </w:rPr>
        <w:t xml:space="preserve">. Inclui-se na autorização disposta no </w:t>
      </w:r>
      <w:r w:rsidRPr="00BC31FC">
        <w:rPr>
          <w:i/>
          <w:sz w:val="24"/>
          <w:szCs w:val="26"/>
        </w:rPr>
        <w:t>caput</w:t>
      </w:r>
      <w:r w:rsidRPr="00BC31FC">
        <w:rPr>
          <w:sz w:val="24"/>
          <w:szCs w:val="26"/>
        </w:rPr>
        <w:t xml:space="preserve"> deste artigo, o uso pelo Instituto de Previdência dos Servidores Públicos</w:t>
      </w:r>
      <w:r w:rsidR="009C4441">
        <w:rPr>
          <w:sz w:val="24"/>
          <w:szCs w:val="26"/>
        </w:rPr>
        <w:t xml:space="preserve"> -</w:t>
      </w:r>
      <w:r w:rsidRPr="00BC31FC">
        <w:rPr>
          <w:sz w:val="24"/>
          <w:szCs w:val="26"/>
        </w:rPr>
        <w:t xml:space="preserve"> IPERON e de seus Fundos, na forma da Legislação Previdenciária, da reserva própria do regime previdenciário.</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w:t>
      </w:r>
      <w:r w:rsidR="00DE018A" w:rsidRPr="00BC31FC">
        <w:rPr>
          <w:sz w:val="24"/>
          <w:szCs w:val="26"/>
        </w:rPr>
        <w:t xml:space="preserve"> </w:t>
      </w:r>
      <w:r w:rsidRPr="00BC31FC">
        <w:rPr>
          <w:sz w:val="24"/>
          <w:szCs w:val="26"/>
        </w:rPr>
        <w:t>9º. Todas as alterações orçamentárias autorizadas nesta Lei, no transcorrer do exercício financeiro serão devidamente registradas no Sistema de Administração Financeira para Estados e Municípios -SIAFEM.</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w:t>
      </w:r>
      <w:r w:rsidR="00DE018A" w:rsidRPr="00BC31FC">
        <w:rPr>
          <w:sz w:val="24"/>
          <w:szCs w:val="26"/>
        </w:rPr>
        <w:t xml:space="preserve"> </w:t>
      </w:r>
      <w:r w:rsidRPr="00BC31FC">
        <w:rPr>
          <w:sz w:val="24"/>
          <w:szCs w:val="26"/>
        </w:rPr>
        <w:t>10. A reserva de contingência, fixada no valor de R$ 37.433.000,00 (trinta e sete milhões, setecentos, quatrocentos e trinta e três mil reais), somente poderá ser utilizada mediante autorização legislativa, exceto em caso de abertura de crédito extraordinário, nos termos do artigo 44 da Lei Federal n° 4.320, de1964.</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Parágrafo único. Caso até o final do 2º (segundo) quadrimestre a Reserva de Contingência não for utilizada, seu saldo poderá ser utilizado para cobertura de outras despesas mediante créditos adicionais ao orçamento</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w:t>
      </w:r>
      <w:r w:rsidR="00DE018A" w:rsidRPr="00BC31FC">
        <w:rPr>
          <w:sz w:val="24"/>
          <w:szCs w:val="26"/>
        </w:rPr>
        <w:t xml:space="preserve"> </w:t>
      </w:r>
      <w:r w:rsidRPr="00BC31FC">
        <w:rPr>
          <w:sz w:val="24"/>
          <w:szCs w:val="26"/>
        </w:rPr>
        <w:t>11. Na forma do disposto no art.2º, § 4º da Emenda à Constituição Federal n.62, de 9 de dezembro de 2009, os recursos orçamentários para   pagamento   dos precatórios expedidos pelos Tribunais serão alocados no Tribunal de Justiça do Estado de Rondônia.</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lastRenderedPageBreak/>
        <w:t>Parágrafo único. Se verificado, em 1º de dezembro de 2019, que os recursos orçamentários para pagamento dos precatórios expedido pelo Tribunal são superiores ao total dos depósitos a serem efetuados até o  final do exercício financeiro, na forma do artigo 2º,  §§1º  e 2º da emenda à Constituição Federal n.62, de 9 de dezembro de 2009, fica o Poder Executivo autorizado a remanejar os recursos orçamentários alocados no Tribunal de Justiça para cobertura de possíveis déficits orçamentários para pagamentos de despesa com pessoal do Poder Executivo até o limite da diferença apurada.</w:t>
      </w:r>
    </w:p>
    <w:p w:rsidR="00C64CA1" w:rsidRPr="00BC31FC" w:rsidRDefault="00C64CA1" w:rsidP="000D35AD">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w:t>
      </w:r>
      <w:r w:rsidR="00DE018A" w:rsidRPr="00BC31FC">
        <w:rPr>
          <w:sz w:val="24"/>
          <w:szCs w:val="26"/>
        </w:rPr>
        <w:t xml:space="preserve"> </w:t>
      </w:r>
      <w:r w:rsidRPr="00BC31FC">
        <w:rPr>
          <w:sz w:val="24"/>
          <w:szCs w:val="26"/>
        </w:rPr>
        <w:t>12. O Poder Executivo tomará as medidas necessárias para manter os dispêndios compatíveis com o comportamento da receita na forma do artigo 8º e 9º da Lei Complementar Federal n.101, de 04 de maio de 2000.</w:t>
      </w:r>
    </w:p>
    <w:p w:rsidR="00C64CA1" w:rsidRPr="00BC31FC" w:rsidRDefault="00C64CA1" w:rsidP="000D35AD">
      <w:pPr>
        <w:pStyle w:val="Normal1"/>
        <w:ind w:firstLine="567"/>
        <w:jc w:val="both"/>
        <w:rPr>
          <w:sz w:val="24"/>
          <w:szCs w:val="26"/>
        </w:rPr>
      </w:pPr>
    </w:p>
    <w:p w:rsidR="00804C8E" w:rsidRPr="00B20319" w:rsidRDefault="00804C8E" w:rsidP="00804C8E">
      <w:pPr>
        <w:pStyle w:val="Normal1"/>
        <w:ind w:firstLine="709"/>
        <w:jc w:val="both"/>
        <w:rPr>
          <w:b/>
          <w:sz w:val="24"/>
          <w:szCs w:val="24"/>
        </w:rPr>
      </w:pPr>
      <w:r w:rsidRPr="00B20319">
        <w:rPr>
          <w:sz w:val="24"/>
          <w:szCs w:val="24"/>
        </w:rPr>
        <w:t xml:space="preserve">Parágrafo único. Os recursos financeiros correspondentes às dotações orçamentárias dos Poderes Legislativo e Judiciário, do Ministério Público, do Tribunal de Contas e da Defensoria Pública serão repassados até o dia 20 de cada mês, de acordo com cronograma específico de desembolso a ser elaborado pelo Poder Executivo com base na série histórica da receita e metodologia de repasses prevista nos §§ 1º, 2º e 3º, do art. 11, da Lei Estadual n. 4.337, de 24 de julho de 2018 - LDO 2019. </w:t>
      </w:r>
      <w:r w:rsidRPr="00B20319">
        <w:rPr>
          <w:b/>
          <w:sz w:val="24"/>
          <w:szCs w:val="24"/>
        </w:rPr>
        <w:t>(Dispositivo vetad</w:t>
      </w:r>
      <w:r w:rsidR="00D54497" w:rsidRPr="00B20319">
        <w:rPr>
          <w:b/>
          <w:sz w:val="24"/>
          <w:szCs w:val="24"/>
        </w:rPr>
        <w:t>o pelo Governador do Estado, e promulgado pela</w:t>
      </w:r>
      <w:r w:rsidR="005256F3" w:rsidRPr="00B20319">
        <w:rPr>
          <w:b/>
          <w:sz w:val="24"/>
          <w:szCs w:val="24"/>
        </w:rPr>
        <w:t xml:space="preserve"> Assembleia Legislativa, em 30/01/2019)</w:t>
      </w:r>
    </w:p>
    <w:p w:rsidR="00C64CA1" w:rsidRPr="00BC31FC" w:rsidRDefault="00C64CA1" w:rsidP="000D35AD">
      <w:pPr>
        <w:pStyle w:val="Normal1"/>
        <w:ind w:firstLine="567"/>
        <w:jc w:val="both"/>
        <w:rPr>
          <w:sz w:val="24"/>
          <w:szCs w:val="26"/>
        </w:rPr>
      </w:pPr>
    </w:p>
    <w:p w:rsidR="00C64CA1" w:rsidRPr="00BC31FC" w:rsidRDefault="008D5DC0" w:rsidP="000D35AD">
      <w:pPr>
        <w:pStyle w:val="Normal1"/>
        <w:ind w:firstLine="567"/>
        <w:jc w:val="both"/>
        <w:rPr>
          <w:sz w:val="24"/>
          <w:szCs w:val="26"/>
        </w:rPr>
      </w:pPr>
      <w:r w:rsidRPr="00BC31FC">
        <w:rPr>
          <w:sz w:val="24"/>
          <w:szCs w:val="26"/>
        </w:rPr>
        <w:t>Art.</w:t>
      </w:r>
      <w:r w:rsidR="00DE018A" w:rsidRPr="00BC31FC">
        <w:rPr>
          <w:sz w:val="24"/>
          <w:szCs w:val="26"/>
        </w:rPr>
        <w:t xml:space="preserve"> </w:t>
      </w:r>
      <w:r w:rsidRPr="00BC31FC">
        <w:rPr>
          <w:sz w:val="24"/>
          <w:szCs w:val="26"/>
        </w:rPr>
        <w:t>13.</w:t>
      </w:r>
      <w:r w:rsidR="00501F6B" w:rsidRPr="00BC31FC">
        <w:rPr>
          <w:sz w:val="24"/>
          <w:szCs w:val="26"/>
        </w:rPr>
        <w:t xml:space="preserve"> Durante o exercício financeiro de 2019, fica o Poder Executivo autorizado a reprogramar as despesas desta Lei Orçamentária para adequações de emendas parlamentares aprovadas pelo Poder Legislativo, mediante ofício do autor da emenda à Secretaria de Estado de Planejamento, Orçamento e Gestão -SEPOG.</w:t>
      </w:r>
    </w:p>
    <w:p w:rsidR="00C64CA1" w:rsidRPr="00BC31FC" w:rsidRDefault="00C64CA1" w:rsidP="000D35AD">
      <w:pPr>
        <w:pStyle w:val="Normal1"/>
        <w:ind w:firstLine="567"/>
        <w:jc w:val="both"/>
        <w:rPr>
          <w:sz w:val="24"/>
          <w:szCs w:val="26"/>
        </w:rPr>
      </w:pPr>
    </w:p>
    <w:p w:rsidR="00C64CA1" w:rsidRPr="00495ABF" w:rsidRDefault="00501F6B" w:rsidP="000D35AD">
      <w:pPr>
        <w:pStyle w:val="Normal1"/>
        <w:ind w:firstLine="567"/>
        <w:jc w:val="both"/>
        <w:rPr>
          <w:strike/>
          <w:sz w:val="24"/>
          <w:szCs w:val="26"/>
        </w:rPr>
      </w:pPr>
      <w:r w:rsidRPr="00495ABF">
        <w:rPr>
          <w:strike/>
          <w:sz w:val="24"/>
          <w:szCs w:val="26"/>
        </w:rPr>
        <w:t>Parágrafo único. Os limites mínimos de contrapartida fixados para as transferências voluntárias de recursos do Estado poderão ser reduzidos ou dispensados pelo ordenador de despesa concedente, desde que devidamente motivado em convênios celebrados com as entidades privadas sem fins lucrativos que tenham em seu estatuto ou contrato social atuação na área de saúde e/ou na área da educação.</w:t>
      </w:r>
    </w:p>
    <w:p w:rsidR="00C64CA1" w:rsidRDefault="00C64CA1" w:rsidP="000D35AD">
      <w:pPr>
        <w:pStyle w:val="Normal1"/>
        <w:ind w:firstLine="567"/>
        <w:jc w:val="both"/>
        <w:rPr>
          <w:sz w:val="24"/>
          <w:szCs w:val="26"/>
        </w:rPr>
      </w:pPr>
    </w:p>
    <w:p w:rsidR="00495ABF" w:rsidRDefault="00495ABF" w:rsidP="000D35AD">
      <w:pPr>
        <w:pStyle w:val="Normal1"/>
        <w:ind w:firstLine="567"/>
        <w:jc w:val="both"/>
        <w:rPr>
          <w:b/>
          <w:sz w:val="24"/>
          <w:szCs w:val="26"/>
        </w:rPr>
      </w:pPr>
      <w:r w:rsidRPr="00C67A1E">
        <w:rPr>
          <w:sz w:val="24"/>
          <w:szCs w:val="26"/>
        </w:rPr>
        <w:t>§ 1º. Os limites mínimos de contrapartida fixados para as transferências voluntárias de recursos do Estado poderão ser reduzidos ou dispensados pelo ordenador de despesas concedente, desde que devidamente motivado em convênios celebrados com as entidades privadas sem fins lucrativos que tenham em seu estatuto ou contrato social atuação na área de saúde e/ou na área da educação.</w:t>
      </w:r>
      <w:r>
        <w:rPr>
          <w:sz w:val="24"/>
          <w:szCs w:val="26"/>
        </w:rPr>
        <w:t xml:space="preserve"> </w:t>
      </w:r>
      <w:r>
        <w:rPr>
          <w:b/>
          <w:sz w:val="24"/>
          <w:szCs w:val="26"/>
        </w:rPr>
        <w:t>(Primitivo parágrafo único renumerado pela Lei nº 4.465, de 25/03/2019</w:t>
      </w:r>
      <w:r w:rsidR="00230946">
        <w:rPr>
          <w:b/>
          <w:sz w:val="24"/>
          <w:szCs w:val="26"/>
        </w:rPr>
        <w:t>)</w:t>
      </w:r>
    </w:p>
    <w:p w:rsidR="00425B85" w:rsidRDefault="00425B85" w:rsidP="000D35AD">
      <w:pPr>
        <w:pStyle w:val="Normal1"/>
        <w:ind w:firstLine="567"/>
        <w:jc w:val="both"/>
        <w:rPr>
          <w:b/>
          <w:sz w:val="24"/>
          <w:szCs w:val="26"/>
        </w:rPr>
      </w:pPr>
    </w:p>
    <w:p w:rsidR="00425B85" w:rsidRDefault="00425B85" w:rsidP="00425B85">
      <w:pPr>
        <w:pStyle w:val="SemEspaamento"/>
        <w:ind w:firstLine="567"/>
        <w:jc w:val="both"/>
        <w:rPr>
          <w:rFonts w:ascii="Times New Roman" w:hAnsi="Times New Roman" w:cs="Times New Roman"/>
          <w:b/>
          <w:sz w:val="24"/>
          <w:szCs w:val="24"/>
        </w:rPr>
      </w:pPr>
      <w:r w:rsidRPr="00C67A1E">
        <w:rPr>
          <w:rFonts w:ascii="Times New Roman" w:hAnsi="Times New Roman" w:cs="Times New Roman"/>
          <w:sz w:val="24"/>
          <w:szCs w:val="26"/>
        </w:rPr>
        <w:t xml:space="preserve">§ 2º. No exercício de 2019, os valores de Emendas Parlamentares de Deputados não reeleitos serão destinados aos novos Deputados Estaduais. </w:t>
      </w:r>
      <w:r w:rsidR="00230946" w:rsidRPr="00230946">
        <w:rPr>
          <w:rFonts w:ascii="Times New Roman" w:hAnsi="Times New Roman" w:cs="Times New Roman"/>
          <w:b/>
          <w:sz w:val="24"/>
          <w:szCs w:val="24"/>
        </w:rPr>
        <w:t>(Redação dada pela Lei nº 4.465, de 25/03/2019)</w:t>
      </w:r>
    </w:p>
    <w:p w:rsidR="00425B85" w:rsidRPr="00C67A1E" w:rsidRDefault="00425B85" w:rsidP="00425B85">
      <w:pPr>
        <w:pStyle w:val="SemEspaamento"/>
        <w:ind w:firstLine="567"/>
        <w:jc w:val="both"/>
        <w:rPr>
          <w:rFonts w:ascii="Times New Roman" w:hAnsi="Times New Roman" w:cs="Times New Roman"/>
          <w:sz w:val="24"/>
          <w:szCs w:val="26"/>
        </w:rPr>
      </w:pPr>
    </w:p>
    <w:p w:rsidR="00425B85" w:rsidRDefault="00425B85" w:rsidP="00425B85">
      <w:pPr>
        <w:pStyle w:val="Normal1"/>
        <w:ind w:firstLine="567"/>
        <w:jc w:val="both"/>
        <w:rPr>
          <w:sz w:val="24"/>
          <w:szCs w:val="26"/>
        </w:rPr>
      </w:pPr>
      <w:r w:rsidRPr="00C67A1E">
        <w:rPr>
          <w:sz w:val="24"/>
          <w:szCs w:val="26"/>
        </w:rPr>
        <w:t>§ 3º. Cabe ao Presidente da Assembleia Legislativa do Estado de Rondônia informar ao Chefe do Poder Executivo a relação dos novos Deputados Estaduais de que trata o § 2º do artigo 13 desta Lei.</w:t>
      </w:r>
      <w:r w:rsidR="00230946">
        <w:rPr>
          <w:sz w:val="24"/>
          <w:szCs w:val="26"/>
        </w:rPr>
        <w:t xml:space="preserve"> </w:t>
      </w:r>
      <w:r w:rsidR="00230946" w:rsidRPr="00230946">
        <w:rPr>
          <w:b/>
          <w:sz w:val="24"/>
          <w:szCs w:val="24"/>
        </w:rPr>
        <w:t>(Redação dada pela Lei nº 4.465, de 25/03/2019)</w:t>
      </w:r>
    </w:p>
    <w:p w:rsidR="00230946" w:rsidRPr="00495ABF" w:rsidRDefault="00230946" w:rsidP="00425B85">
      <w:pPr>
        <w:pStyle w:val="Normal1"/>
        <w:ind w:firstLine="567"/>
        <w:jc w:val="both"/>
        <w:rPr>
          <w:b/>
          <w:sz w:val="24"/>
          <w:szCs w:val="26"/>
        </w:rPr>
      </w:pPr>
    </w:p>
    <w:p w:rsidR="005256F3" w:rsidRPr="00B20319" w:rsidRDefault="005256F3" w:rsidP="00B20319">
      <w:pPr>
        <w:pStyle w:val="Normal1"/>
        <w:ind w:firstLine="709"/>
        <w:jc w:val="both"/>
        <w:rPr>
          <w:sz w:val="24"/>
          <w:szCs w:val="24"/>
        </w:rPr>
      </w:pPr>
      <w:r w:rsidRPr="00B20319">
        <w:rPr>
          <w:sz w:val="24"/>
          <w:szCs w:val="24"/>
        </w:rPr>
        <w:t xml:space="preserve">Art. 14. Dos recursos originários da fonte de recursos 0240, alocados no Fundo de Investimento e Desenvolvimento Industrial do Estado de Rondônia, na ação 2716, R$ 1.357.963,00 (um milhão, trezentos e cinquenta e sete mil, novecentos e sessenta e três reais) deverão ser destinados exclusivamente à aquisição de sistema eletrônico de captura de dados de pesagem de carcaças bovinas, via transferência de recursos ao Fundo para o Desenvolvimento da Agropecuária de Rondônia - FUNDADRO, que será implantado em todos os frigoríficos do Estado de Rondônia, em atendimento às disposições da Lei nº 4.318, de 03 de julho </w:t>
      </w:r>
      <w:r w:rsidRPr="00B20319">
        <w:rPr>
          <w:sz w:val="24"/>
          <w:szCs w:val="24"/>
        </w:rPr>
        <w:lastRenderedPageBreak/>
        <w:t xml:space="preserve">de 2018.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Art. 15. Dos recursos de investimentos originários da fonte de recursos 0112, alocados na Secretaria de Estado da Educação, na ação 2165, R$ 2.000.000,00 (dois milhões de reais) deverão ser destinados exclusivamente à manutenção, construção, modernização e ampliação das unidades escolares das Escolas Famílias Agrícolas - EFAS.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Art. 16. Os Recursos originários dos Fundos de Investimento e Desenvolvimento Industrial do Estado de Rondônia - FIDER, do Fundo Estadual de Sanidade Animal - FESA, do Fundo de Investimento e Apoio ao Programa de Desenvolvimento da Pecuária Leiteira do Estado - PROLEITE, do Fundo de Apoio à Cultura do Café em Rondônia - FUNCAFÉ e do Fundo Estadual de Combate e Erradicação da Pobreza de Rondônia - FECOEP/RO que se constituírem em Superávit Financeiro ao término do exercício de 2018, com saldo financeiro apurado no Balanço Patrimonial, serão distribuídos proporcionalmente até o montante de 20% (vinte por cento) de cada Fundo indicado neste artigo, com a finalidade específica para atender a Secretaria de Estado da Agricultura - SEAGRI, a Agência de Defesa Sanitária </w:t>
      </w:r>
      <w:proofErr w:type="spellStart"/>
      <w:r w:rsidRPr="00B20319">
        <w:rPr>
          <w:sz w:val="24"/>
          <w:szCs w:val="24"/>
        </w:rPr>
        <w:t>Agrosilvopastoril</w:t>
      </w:r>
      <w:proofErr w:type="spellEnd"/>
      <w:r w:rsidRPr="00B20319">
        <w:rPr>
          <w:sz w:val="24"/>
          <w:szCs w:val="24"/>
        </w:rPr>
        <w:t xml:space="preserve"> do Estado de Rondônia - IDARON e a Empresa de Assistência Técnica e Extensão Rural - EMATER.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Parágrafo único. Do valor resultante da aplicação do percentual de que trata esse artigo, 70% (setenta por cento) será aplicado em projetos de investimentos.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Art. 17. Para fins de atendimento ao processo judicial de ação de dissídio coletivo de greve nº 0801150-04.2017.8.22.0000 fica autorizado o remanejamento de recursos orçamentários até o montante de R$ 25.724.664,00 (vinte e cinco milhões, setecentos e vinte e quatro mil, seiscentos e sessenta e quatro reais) em favor da Secretaria de Estado da Justiça, da seguinte forma: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§1º. Programação a ser reduzida na unidade orçamentária: 21.001 - Secretaria de Estado da Justiça - SEJUS: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I - Funcional programática: 03.421.1242.2893 - Fornecer Alimentação para População Carcerária, fonte de recurso: 0100, natureza da despesa: 3.3.90, valor: R$ 9.000.000,00 (nove milhões de reais);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II - Funcional programática: 03.421.1242.2953 - Assegurar o Funcionamento das Unidades Prisionais, fonte de recurso: 0100, natureza da despesa: 3.3.90, valor: R$ 5.324.664,00 (cinco milhões, trezentos e vinte e quatro mil, seiscentos e sessenta e quatro reais); </w:t>
      </w:r>
      <w:r w:rsidRPr="00B20319">
        <w:rPr>
          <w:b/>
          <w:sz w:val="24"/>
          <w:szCs w:val="24"/>
        </w:rPr>
        <w:t>(Dispositivo vetado pelo Governador do Estado, e promulgado pela Assembleia Legislativa, em 30/01/2019)</w:t>
      </w:r>
    </w:p>
    <w:p w:rsidR="005256F3" w:rsidRPr="00B20319" w:rsidRDefault="005256F3" w:rsidP="00B20319">
      <w:pPr>
        <w:jc w:val="both"/>
        <w:rPr>
          <w:sz w:val="24"/>
          <w:szCs w:val="24"/>
        </w:rPr>
      </w:pPr>
    </w:p>
    <w:p w:rsidR="005256F3" w:rsidRPr="00B20319" w:rsidRDefault="005256F3" w:rsidP="00B20319">
      <w:pPr>
        <w:pStyle w:val="Normal1"/>
        <w:jc w:val="both"/>
        <w:rPr>
          <w:sz w:val="24"/>
          <w:szCs w:val="24"/>
        </w:rPr>
      </w:pPr>
      <w:r w:rsidRPr="00B20319">
        <w:rPr>
          <w:sz w:val="24"/>
          <w:szCs w:val="24"/>
        </w:rPr>
        <w:t xml:space="preserve">III - Funcional programática: 04.122.1015.2087 - Assegurar a Manutenção Administrativa da Unidade, fonte de recurso: 0100, natureza da despesa: 3.3.90, valor: R$ 498.000,00;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lastRenderedPageBreak/>
        <w:tab/>
        <w:t xml:space="preserve">IV - Funcional programática: 03.421.1242.2950 - Assegurar Assistência Médica aos Apenados, fonte de recurso: 0100, natureza da despesa: 3.3.90, valor: R$ 500.000,00 (quinhentos mil reais);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V - Funcional programática: 03.126.2236.2237 - Tecnologia para a Segurança, fonte de recurso: 0100, natureza da despesa: 4.4.90, Valor: R$ 300.000,00 (trezentos mil reais); </w:t>
      </w:r>
      <w:r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VI - Funcional programática: 03.363.2236.2238 - Pessoas Qualificadas para Segurança Pública, fonte de recurso: 0100, natureza da despesa: 4.4.90, valor: R$ 300.000,00 (trezentos mil reais</w:t>
      </w:r>
      <w:proofErr w:type="gramStart"/>
      <w:r w:rsidRPr="00B20319">
        <w:rPr>
          <w:sz w:val="24"/>
          <w:szCs w:val="24"/>
        </w:rPr>
        <w:t>) ;</w:t>
      </w:r>
      <w:proofErr w:type="gramEnd"/>
      <w:r w:rsidR="006C3EE5" w:rsidRPr="00B20319">
        <w:rPr>
          <w:sz w:val="24"/>
          <w:szCs w:val="24"/>
        </w:rPr>
        <w:t xml:space="preserve"> </w:t>
      </w:r>
      <w:r w:rsidR="006C3EE5"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jc w:val="both"/>
        <w:rPr>
          <w:sz w:val="24"/>
          <w:szCs w:val="24"/>
        </w:rPr>
      </w:pPr>
      <w:r w:rsidRPr="00B20319">
        <w:rPr>
          <w:sz w:val="24"/>
          <w:szCs w:val="24"/>
        </w:rPr>
        <w:tab/>
        <w:t>VII - Funcional programática: 12.363.2236.2250 - Segurança para Recomeçar - Sistema Penitenciário, fonte de recurso: 0100, natureza da despesa: 3.3.50, valor: R$ 300.000,00 (trezentos mil reais).</w:t>
      </w:r>
      <w:r w:rsidR="006C3EE5" w:rsidRPr="00B20319">
        <w:rPr>
          <w:sz w:val="24"/>
          <w:szCs w:val="24"/>
        </w:rPr>
        <w:t xml:space="preserve"> </w:t>
      </w:r>
      <w:r w:rsidR="006C3EE5" w:rsidRPr="00B20319">
        <w:rPr>
          <w:b/>
          <w:sz w:val="24"/>
          <w:szCs w:val="24"/>
        </w:rPr>
        <w:t>(Dispositivo vetado pelo Governador do Estado, e promulgado pela Assembleia Legislativa, em 30/01/2019)</w:t>
      </w:r>
    </w:p>
    <w:p w:rsidR="005256F3" w:rsidRPr="00B20319" w:rsidRDefault="005256F3" w:rsidP="00B20319">
      <w:pPr>
        <w:jc w:val="both"/>
        <w:rPr>
          <w:sz w:val="24"/>
          <w:szCs w:val="24"/>
        </w:rPr>
      </w:pPr>
    </w:p>
    <w:p w:rsidR="005256F3" w:rsidRPr="00B20319" w:rsidRDefault="005256F3" w:rsidP="00B20319">
      <w:pPr>
        <w:pStyle w:val="Normal1"/>
        <w:ind w:firstLine="567"/>
        <w:jc w:val="both"/>
        <w:rPr>
          <w:sz w:val="24"/>
          <w:szCs w:val="24"/>
        </w:rPr>
      </w:pPr>
      <w:r w:rsidRPr="00B20319">
        <w:rPr>
          <w:sz w:val="24"/>
          <w:szCs w:val="24"/>
        </w:rPr>
        <w:t xml:space="preserve">§ 2º. Programação a ser reduzida na unidade orçamentária: 13.001 - Secretaria de Estado do Planejamento, Orçamento e Gestão: </w:t>
      </w:r>
      <w:r w:rsidR="004F1164"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I - Funcional programática: 04.122.1015.2087 - Assegurar a Manutenção Administrativa da Unidade, fonte de recurso: 0213, natureza da despesa: 3.3.90, valor: R$ 6.189.000,00 (seis milhões, cento e oitenta e nove mil reais); </w:t>
      </w:r>
      <w:r w:rsidR="004F1164"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 xml:space="preserve">II - Funcional programática: 04.122.1015.2087 - Assegurar a Manutenção Administrativa da Unidade, fonte de recurso: 0100, natureza da despesa: 3.3.90, valor: R$ 3.313.000,00 (três milhões, trezentos e treze mil reais); </w:t>
      </w:r>
      <w:r w:rsidR="004F1164"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r w:rsidRPr="00B20319">
        <w:rPr>
          <w:sz w:val="24"/>
          <w:szCs w:val="24"/>
        </w:rPr>
        <w:t xml:space="preserve"> </w:t>
      </w:r>
    </w:p>
    <w:p w:rsidR="005256F3" w:rsidRPr="00B20319" w:rsidRDefault="005256F3" w:rsidP="00B20319">
      <w:pPr>
        <w:pStyle w:val="Normal1"/>
        <w:jc w:val="both"/>
        <w:rPr>
          <w:sz w:val="24"/>
          <w:szCs w:val="24"/>
        </w:rPr>
      </w:pPr>
      <w:r w:rsidRPr="00B20319">
        <w:rPr>
          <w:sz w:val="24"/>
          <w:szCs w:val="24"/>
        </w:rPr>
        <w:tab/>
        <w:t>§ 3º. Programação a ser contemplada na unidade orçamentária: 21.001 - Secretaria de Estado da Justiça - SEJUS:</w:t>
      </w:r>
      <w:r w:rsidR="004F1164" w:rsidRPr="00B20319">
        <w:rPr>
          <w:sz w:val="24"/>
          <w:szCs w:val="24"/>
        </w:rPr>
        <w:t xml:space="preserve"> </w:t>
      </w:r>
      <w:r w:rsidR="004F1164"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jc w:val="both"/>
        <w:rPr>
          <w:sz w:val="24"/>
          <w:szCs w:val="24"/>
        </w:rPr>
      </w:pPr>
      <w:r w:rsidRPr="00B20319">
        <w:rPr>
          <w:sz w:val="24"/>
          <w:szCs w:val="24"/>
        </w:rPr>
        <w:tab/>
        <w:t>I - Funcional programática: 04.122.1015.2234 - Assegurar a Remuneração de Pessoal Ativo e Encargos Sociais, fonte de recurso: 0100, natureza da despesa: 3.1.90, valor: R$ 18.325.664,00 (dezoito milhões, trezentos e vinte e cinco mil, seiscentos e sessenta e quatro reais);</w:t>
      </w:r>
      <w:r w:rsidR="004F1164" w:rsidRPr="00B20319">
        <w:rPr>
          <w:sz w:val="24"/>
          <w:szCs w:val="24"/>
        </w:rPr>
        <w:t xml:space="preserve"> </w:t>
      </w:r>
      <w:r w:rsidR="004F1164" w:rsidRPr="00B20319">
        <w:rPr>
          <w:b/>
          <w:sz w:val="24"/>
          <w:szCs w:val="24"/>
        </w:rPr>
        <w:t>(Dispositivo vetado pelo Governador do Estado, e promulgado pela Assembleia Legislativa, em 30/01/2019)</w:t>
      </w:r>
    </w:p>
    <w:p w:rsidR="005256F3" w:rsidRPr="00B20319" w:rsidRDefault="005256F3" w:rsidP="00B20319">
      <w:pPr>
        <w:jc w:val="both"/>
        <w:rPr>
          <w:sz w:val="24"/>
          <w:szCs w:val="24"/>
        </w:rPr>
      </w:pPr>
    </w:p>
    <w:p w:rsidR="005256F3" w:rsidRPr="00B20319" w:rsidRDefault="005256F3" w:rsidP="00B20319">
      <w:pPr>
        <w:pStyle w:val="Normal1"/>
        <w:ind w:firstLine="567"/>
        <w:jc w:val="both"/>
        <w:rPr>
          <w:sz w:val="24"/>
          <w:szCs w:val="24"/>
        </w:rPr>
      </w:pPr>
      <w:r w:rsidRPr="00B20319">
        <w:rPr>
          <w:sz w:val="24"/>
          <w:szCs w:val="24"/>
        </w:rPr>
        <w:t xml:space="preserve">II - Funcional programática: 04.122.1015.2091 - Atender a Servidores com Auxílios, fonte de recurso: 0100, natureza da despesa: 3.3.90, valor: R$ 1.210.000,00 (um milhão, duzentos e dez mil reais);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lastRenderedPageBreak/>
        <w:tab/>
        <w:t>III - Funcional programática: 03.421.1242.2893 - Fornecer Alimentação para População Carcerária, fonte de recurso: 0213, natureza da despesa: 3.3.90, valor: R$ 6.189.000,00 (seis milhões, cento e oitenta e nove mil reais).</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Art. 18. Dos recursos de investimentos originários da fonte de recursos 0112, alocados na Secretaria de Estado da Educação, na ação 2165, R$ 800.000,00 (oitocentos mil reais) deverão ser destinados exclusivamente à construção de refeitório na Escola Militar Tiradentes de Vilhena.</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jc w:val="both"/>
        <w:rPr>
          <w:sz w:val="24"/>
          <w:szCs w:val="24"/>
        </w:rPr>
      </w:pPr>
    </w:p>
    <w:p w:rsidR="005256F3" w:rsidRPr="00B20319" w:rsidRDefault="005256F3" w:rsidP="00B20319">
      <w:pPr>
        <w:pStyle w:val="Normal1"/>
        <w:jc w:val="both"/>
        <w:rPr>
          <w:sz w:val="24"/>
          <w:szCs w:val="24"/>
        </w:rPr>
      </w:pPr>
      <w:r w:rsidRPr="00B20319">
        <w:rPr>
          <w:sz w:val="24"/>
          <w:szCs w:val="24"/>
        </w:rPr>
        <w:tab/>
        <w:t>Art. 19. Dos recursos de investimentos originários da fonte de recursos 0112, alocados na Secretaria de Estado da Educação, na ação 2165, R$ 4.440.488,33 (quatro milhões, quatrocentos e quarenta mil, quatrocentos e oitenta e oito reais e trinta e três centavos) deverão ser destinados exclusivamente à construção de escola de ensino fundamental e médio, no Bairro Jardim Cidade Verde II, no Município de Vilhena.</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Art. 20. Dos recursos de investimentos originários da fonte de recursos 0229, alocados no Departamento Estadual de Estradas de Rodagem, Infraestrutura e Serviços Públicos, na ação 1386, R$ 4.000.000,00 (quatro milhões de reais) deverão ser destinados exclusivamente para duplicação da RO-481, no trecho entre Frigorífico JBS e chegada de São Miguel do Guaporé.</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Art. 21. Para fins de atendimento ao que determina a Lei nº 3961/2016, fica autorizado o remanejamento de recursos orçamentários até o montante de R$ 12.978.812,94 em favor da Secretaria de Estado de Segurança, Defesa e Cidadania - SESDEC, da seguinte forma:</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 xml:space="preserve">§ 1º. Programação a ser reduzida na unidade orçamentária: 13.001 - Secretaria de Estado do Planejamento, Orçamento e Gestão: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I - Funcional programática: 99.999.1015.9999 - Reserva de Contingência, Fonte de recurso: 0100, natureza da despesa: 9.9.99, valor: R$ 12.978.812,94 (doze milhões, novecentos e setenta e oito mil, oitocentos e doze reais e noventa e quatro centavos).</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 2º. Programação a ser contemplada na unidade orçamentária:  15.001 - Secretaria de Estado de Segurança, Defesa e Cidadania:</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5256F3" w:rsidRPr="00B20319" w:rsidRDefault="005256F3" w:rsidP="00B20319">
      <w:pPr>
        <w:pStyle w:val="Normal1"/>
        <w:ind w:firstLine="709"/>
        <w:jc w:val="both"/>
        <w:rPr>
          <w:sz w:val="24"/>
          <w:szCs w:val="24"/>
        </w:rPr>
      </w:pPr>
      <w:r w:rsidRPr="00B20319">
        <w:rPr>
          <w:sz w:val="24"/>
          <w:szCs w:val="24"/>
        </w:rPr>
        <w:t>I - Funcional programática: 06.181.2020.2147 - Assegurar a Remuneração de Pessoal Ativo e Encargos Sociais - PC, fonte de recurso: 0100, natureza da despesa: 3.1.90, valor: R$ 9.270.580,67 (nove milhões, duzentos e setenta mil, quinhentos e oitenta reais e sessenta e sete centavos);</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256F3" w:rsidRPr="00B20319" w:rsidRDefault="005256F3" w:rsidP="00B20319">
      <w:pPr>
        <w:pStyle w:val="Normal1"/>
        <w:ind w:firstLine="709"/>
        <w:jc w:val="both"/>
        <w:rPr>
          <w:sz w:val="24"/>
          <w:szCs w:val="24"/>
        </w:rPr>
      </w:pPr>
    </w:p>
    <w:p w:rsidR="001F4188" w:rsidRPr="00B20319" w:rsidRDefault="005256F3" w:rsidP="00B20319">
      <w:pPr>
        <w:pStyle w:val="Normal1"/>
        <w:ind w:firstLine="567"/>
        <w:jc w:val="both"/>
        <w:rPr>
          <w:b/>
          <w:sz w:val="24"/>
          <w:szCs w:val="24"/>
        </w:rPr>
      </w:pPr>
      <w:r w:rsidRPr="00B20319">
        <w:rPr>
          <w:sz w:val="24"/>
          <w:szCs w:val="24"/>
        </w:rPr>
        <w:t xml:space="preserve">II - Funcional programática: 06.181.2020.2147 - Assegurar a Remuneração de Pessoal Ativo e Encargos Sociais - PC, fonte de recurso: 0100, natureza da despesa: 3.1.91, valor: R$ 3.708.232,27 (três </w:t>
      </w:r>
      <w:r w:rsidRPr="00B20319">
        <w:rPr>
          <w:sz w:val="24"/>
          <w:szCs w:val="24"/>
        </w:rPr>
        <w:lastRenderedPageBreak/>
        <w:t>milhões, setecentos e oito mil, duzentos e trinta e dois reais e vinte e sete centavos)</w:t>
      </w:r>
      <w:r w:rsidR="00510A37" w:rsidRPr="00B20319">
        <w:rPr>
          <w:sz w:val="24"/>
          <w:szCs w:val="24"/>
        </w:rPr>
        <w:t xml:space="preserve"> </w:t>
      </w:r>
      <w:r w:rsidR="00510A37" w:rsidRPr="00B20319">
        <w:rPr>
          <w:b/>
          <w:sz w:val="24"/>
          <w:szCs w:val="24"/>
        </w:rPr>
        <w:t>(Dispositivo vetado pelo Governador do Estado, e promulgado pela Assembleia Legislativa, em 30/01/2019)</w:t>
      </w:r>
    </w:p>
    <w:p w:rsidR="00510A37" w:rsidRPr="00BC31FC" w:rsidRDefault="00510A37" w:rsidP="005256F3">
      <w:pPr>
        <w:pStyle w:val="Normal1"/>
        <w:ind w:firstLine="567"/>
        <w:jc w:val="both"/>
        <w:rPr>
          <w:sz w:val="24"/>
          <w:szCs w:val="26"/>
        </w:rPr>
      </w:pPr>
    </w:p>
    <w:p w:rsidR="00C64CA1" w:rsidRPr="00BC31FC" w:rsidRDefault="00501F6B" w:rsidP="000D35AD">
      <w:pPr>
        <w:pStyle w:val="Normal1"/>
        <w:ind w:firstLine="567"/>
        <w:jc w:val="both"/>
        <w:rPr>
          <w:sz w:val="24"/>
          <w:szCs w:val="26"/>
        </w:rPr>
      </w:pPr>
      <w:r w:rsidRPr="00BC31FC">
        <w:rPr>
          <w:sz w:val="24"/>
          <w:szCs w:val="26"/>
        </w:rPr>
        <w:t>Art. 22. Esta Lei entra em vigor na data de sua publicação, produzindo efeitos a partir de 1º de janeiro de 2019.</w:t>
      </w:r>
    </w:p>
    <w:p w:rsidR="00C64CA1" w:rsidRDefault="00C64CA1" w:rsidP="000D35AD">
      <w:pPr>
        <w:pStyle w:val="Normal1"/>
        <w:ind w:firstLine="567"/>
        <w:jc w:val="both"/>
        <w:rPr>
          <w:sz w:val="24"/>
          <w:szCs w:val="26"/>
        </w:rPr>
      </w:pPr>
    </w:p>
    <w:p w:rsidR="00CC787F" w:rsidRPr="00CC787F" w:rsidRDefault="00CC787F" w:rsidP="000D35AD">
      <w:pPr>
        <w:ind w:firstLine="567"/>
        <w:jc w:val="both"/>
        <w:rPr>
          <w:sz w:val="24"/>
        </w:rPr>
      </w:pPr>
      <w:r w:rsidRPr="00CC787F">
        <w:rPr>
          <w:sz w:val="24"/>
        </w:rPr>
        <w:t xml:space="preserve">Palácio do Governo do Estado de Rondônia, em </w:t>
      </w:r>
      <w:r w:rsidR="00F21AC9">
        <w:rPr>
          <w:sz w:val="24"/>
        </w:rPr>
        <w:t>7</w:t>
      </w:r>
      <w:r w:rsidRPr="00CC787F">
        <w:rPr>
          <w:sz w:val="24"/>
        </w:rPr>
        <w:t xml:space="preserve"> de </w:t>
      </w:r>
      <w:r>
        <w:rPr>
          <w:sz w:val="24"/>
        </w:rPr>
        <w:t>janeiro</w:t>
      </w:r>
      <w:r w:rsidRPr="00CC787F">
        <w:rPr>
          <w:sz w:val="24"/>
        </w:rPr>
        <w:t xml:space="preserve"> de 201</w:t>
      </w:r>
      <w:r>
        <w:rPr>
          <w:sz w:val="24"/>
        </w:rPr>
        <w:t>9</w:t>
      </w:r>
      <w:r w:rsidRPr="00CC787F">
        <w:rPr>
          <w:sz w:val="24"/>
        </w:rPr>
        <w:t xml:space="preserve">, 131º da República.  </w:t>
      </w:r>
    </w:p>
    <w:p w:rsidR="00CC787F" w:rsidRDefault="00CC787F" w:rsidP="000D35AD">
      <w:pPr>
        <w:pStyle w:val="Normal1"/>
        <w:ind w:firstLine="567"/>
        <w:jc w:val="both"/>
        <w:rPr>
          <w:sz w:val="24"/>
          <w:szCs w:val="26"/>
        </w:rPr>
      </w:pPr>
    </w:p>
    <w:p w:rsidR="000D35AD" w:rsidRDefault="000D35AD" w:rsidP="000D35AD">
      <w:pPr>
        <w:pStyle w:val="Normal1"/>
        <w:ind w:firstLine="567"/>
        <w:jc w:val="both"/>
        <w:rPr>
          <w:sz w:val="24"/>
          <w:szCs w:val="26"/>
        </w:rPr>
      </w:pPr>
    </w:p>
    <w:p w:rsidR="000D35AD" w:rsidRDefault="000D35AD" w:rsidP="009A27AD">
      <w:pPr>
        <w:pStyle w:val="SemEspaamento"/>
        <w:jc w:val="center"/>
      </w:pPr>
      <w:r w:rsidRPr="00CE727E">
        <w:rPr>
          <w:rFonts w:ascii="Times New Roman" w:hAnsi="Times New Roman" w:cs="Times New Roman"/>
          <w:b/>
          <w:sz w:val="24"/>
          <w:szCs w:val="24"/>
          <w:lang w:eastAsia="pt-BR"/>
        </w:rPr>
        <w:t>MARCOS JOSÉ ROCHA DOS SANTOS</w:t>
      </w:r>
      <w:r w:rsidRPr="009673D1">
        <w:rPr>
          <w:rFonts w:ascii="Times New Roman" w:hAnsi="Times New Roman" w:cs="Times New Roman"/>
          <w:sz w:val="24"/>
          <w:szCs w:val="24"/>
          <w:lang w:eastAsia="pt-BR"/>
        </w:rPr>
        <w:br/>
        <w:t>Governador</w:t>
      </w:r>
    </w:p>
    <w:p w:rsidR="000D35AD" w:rsidRPr="000D35AD" w:rsidRDefault="000D35AD" w:rsidP="000D35AD">
      <w:pPr>
        <w:pStyle w:val="Normal1"/>
        <w:ind w:firstLine="567"/>
        <w:jc w:val="both"/>
        <w:rPr>
          <w:sz w:val="24"/>
          <w:szCs w:val="26"/>
        </w:rPr>
      </w:pPr>
    </w:p>
    <w:p w:rsidR="00B65234" w:rsidRPr="00B65234" w:rsidRDefault="00B65234" w:rsidP="000D35AD">
      <w:pPr>
        <w:pStyle w:val="Normal1"/>
        <w:ind w:firstLine="567"/>
        <w:jc w:val="both"/>
        <w:rPr>
          <w:sz w:val="26"/>
          <w:szCs w:val="26"/>
        </w:rPr>
      </w:pPr>
      <w:r>
        <w:rPr>
          <w:b/>
          <w:sz w:val="26"/>
          <w:szCs w:val="26"/>
        </w:rPr>
        <w:tab/>
      </w:r>
    </w:p>
    <w:sectPr w:rsidR="00B65234" w:rsidRPr="00B65234" w:rsidSect="00F845F6">
      <w:headerReference w:type="default" r:id="rId8"/>
      <w:footerReference w:type="default" r:id="rId9"/>
      <w:pgSz w:w="11920" w:h="16840"/>
      <w:pgMar w:top="1134" w:right="567" w:bottom="567" w:left="1134" w:header="425" w:footer="22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83" w:rsidRDefault="004A2583" w:rsidP="00C64CA1">
      <w:r>
        <w:separator/>
      </w:r>
    </w:p>
  </w:endnote>
  <w:endnote w:type="continuationSeparator" w:id="0">
    <w:p w:rsidR="004A2583" w:rsidRDefault="004A2583" w:rsidP="00C6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19415"/>
      <w:docPartObj>
        <w:docPartGallery w:val="Page Numbers (Bottom of Page)"/>
        <w:docPartUnique/>
      </w:docPartObj>
    </w:sdtPr>
    <w:sdtEndPr/>
    <w:sdtContent>
      <w:p w:rsidR="00661847" w:rsidRDefault="00661847" w:rsidP="00F845F6">
        <w:pPr>
          <w:pStyle w:val="Rodap"/>
          <w:jc w:val="right"/>
        </w:pPr>
        <w:r>
          <w:fldChar w:fldCharType="begin"/>
        </w:r>
        <w:r>
          <w:instrText xml:space="preserve"> PAGE   \* MERGEFORMAT </w:instrText>
        </w:r>
        <w:r>
          <w:fldChar w:fldCharType="separate"/>
        </w:r>
        <w:r w:rsidR="00D968BF">
          <w:rPr>
            <w:noProof/>
          </w:rPr>
          <w:t>10</w:t>
        </w:r>
        <w:r>
          <w:rPr>
            <w:noProof/>
          </w:rPr>
          <w:fldChar w:fldCharType="end"/>
        </w:r>
      </w:p>
    </w:sdtContent>
  </w:sdt>
  <w:p w:rsidR="00661847" w:rsidRDefault="00661847" w:rsidP="00F845F6">
    <w:pPr>
      <w:pStyle w:val="Rodap"/>
      <w:tabs>
        <w:tab w:val="clear" w:pos="4252"/>
        <w:tab w:val="clear" w:pos="8504"/>
        <w:tab w:val="left" w:pos="586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83" w:rsidRDefault="004A2583" w:rsidP="00C64CA1">
      <w:r>
        <w:separator/>
      </w:r>
    </w:p>
  </w:footnote>
  <w:footnote w:type="continuationSeparator" w:id="0">
    <w:p w:rsidR="004A2583" w:rsidRDefault="004A2583" w:rsidP="00C6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47" w:rsidRPr="002F3930" w:rsidRDefault="00661847" w:rsidP="00412716">
    <w:pPr>
      <w:tabs>
        <w:tab w:val="left" w:pos="10350"/>
      </w:tabs>
      <w:ind w:right="-60"/>
      <w:jc w:val="center"/>
      <w:rPr>
        <w:rFonts w:eastAsia="SimSun" w:cs="Mangal"/>
        <w:kern w:val="3"/>
        <w:lang w:eastAsia="zh-CN" w:bidi="hi-IN"/>
      </w:rPr>
    </w:pPr>
    <w:r w:rsidRPr="002F3930">
      <w:rPr>
        <w:rFonts w:eastAsia="SimSun" w:cs="Mangal"/>
        <w:b/>
        <w:kern w:val="3"/>
        <w:lang w:eastAsia="zh-CN" w:bidi="hi-IN"/>
      </w:rPr>
      <w:object w:dxaOrig="1260" w:dyaOrig="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1in;visibility:visible" o:ole="">
          <v:imagedata r:id="rId1" o:title=""/>
        </v:shape>
        <o:OLEObject Type="Embed" ProgID="Word.Picture.8" ShapeID="_x0000_i1025" DrawAspect="Content" ObjectID="_1655150634" r:id="rId2"/>
      </w:object>
    </w:r>
  </w:p>
  <w:p w:rsidR="00661847" w:rsidRPr="00412716" w:rsidRDefault="00661847" w:rsidP="00412716">
    <w:pPr>
      <w:widowControl w:val="0"/>
      <w:suppressAutoHyphens/>
      <w:autoSpaceDN w:val="0"/>
      <w:jc w:val="center"/>
      <w:textAlignment w:val="baseline"/>
      <w:rPr>
        <w:rFonts w:eastAsia="SimSun" w:cs="Mangal"/>
        <w:b/>
        <w:kern w:val="3"/>
        <w:sz w:val="24"/>
        <w:lang w:eastAsia="zh-CN" w:bidi="hi-IN"/>
      </w:rPr>
    </w:pPr>
    <w:r w:rsidRPr="00412716">
      <w:rPr>
        <w:rFonts w:eastAsia="SimSun" w:cs="Mangal"/>
        <w:b/>
        <w:kern w:val="3"/>
        <w:sz w:val="24"/>
        <w:lang w:eastAsia="zh-CN" w:bidi="hi-IN"/>
      </w:rPr>
      <w:t>GOVERNO DO ESTADO DE RONDÔNIA</w:t>
    </w:r>
  </w:p>
  <w:p w:rsidR="00661847" w:rsidRPr="00412716" w:rsidRDefault="00661847" w:rsidP="00412716">
    <w:pPr>
      <w:widowControl w:val="0"/>
      <w:suppressLineNumbers/>
      <w:tabs>
        <w:tab w:val="center" w:pos="4819"/>
        <w:tab w:val="right" w:pos="9638"/>
      </w:tabs>
      <w:suppressAutoHyphens/>
      <w:autoSpaceDN w:val="0"/>
      <w:jc w:val="center"/>
      <w:textAlignment w:val="baseline"/>
      <w:rPr>
        <w:rFonts w:eastAsia="SimSun" w:cs="Mangal"/>
        <w:b/>
        <w:kern w:val="3"/>
        <w:sz w:val="24"/>
        <w:lang w:eastAsia="zh-CN" w:bidi="hi-IN"/>
      </w:rPr>
    </w:pPr>
    <w:r w:rsidRPr="00412716">
      <w:rPr>
        <w:rFonts w:eastAsia="SimSun" w:cs="Mangal"/>
        <w:b/>
        <w:kern w:val="3"/>
        <w:sz w:val="24"/>
        <w:lang w:eastAsia="zh-CN" w:bidi="hi-IN"/>
      </w:rPr>
      <w:t>GOVERNADORIA</w:t>
    </w:r>
  </w:p>
  <w:p w:rsidR="00661847" w:rsidRDefault="006618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A1"/>
    <w:rsid w:val="000006B1"/>
    <w:rsid w:val="00001B96"/>
    <w:rsid w:val="00021C57"/>
    <w:rsid w:val="0005767C"/>
    <w:rsid w:val="000C6997"/>
    <w:rsid w:val="000D35AD"/>
    <w:rsid w:val="001F4188"/>
    <w:rsid w:val="00204847"/>
    <w:rsid w:val="00227957"/>
    <w:rsid w:val="00230946"/>
    <w:rsid w:val="002628A3"/>
    <w:rsid w:val="00412716"/>
    <w:rsid w:val="00425B85"/>
    <w:rsid w:val="00442D14"/>
    <w:rsid w:val="00485232"/>
    <w:rsid w:val="00495ABF"/>
    <w:rsid w:val="004A2583"/>
    <w:rsid w:val="004A33BD"/>
    <w:rsid w:val="004A6A4A"/>
    <w:rsid w:val="004B1D06"/>
    <w:rsid w:val="004F1164"/>
    <w:rsid w:val="00501F6B"/>
    <w:rsid w:val="00510A37"/>
    <w:rsid w:val="005256F3"/>
    <w:rsid w:val="00601445"/>
    <w:rsid w:val="00661847"/>
    <w:rsid w:val="006C3EE5"/>
    <w:rsid w:val="00776072"/>
    <w:rsid w:val="00804C8E"/>
    <w:rsid w:val="0085112D"/>
    <w:rsid w:val="008A4F45"/>
    <w:rsid w:val="008D5DC0"/>
    <w:rsid w:val="00960E31"/>
    <w:rsid w:val="0099136A"/>
    <w:rsid w:val="009A27AD"/>
    <w:rsid w:val="009C4441"/>
    <w:rsid w:val="009E05C6"/>
    <w:rsid w:val="00A81FFF"/>
    <w:rsid w:val="00B20319"/>
    <w:rsid w:val="00B52A9C"/>
    <w:rsid w:val="00B65234"/>
    <w:rsid w:val="00BC31FC"/>
    <w:rsid w:val="00BD0117"/>
    <w:rsid w:val="00BE40DE"/>
    <w:rsid w:val="00C64CA1"/>
    <w:rsid w:val="00C7059F"/>
    <w:rsid w:val="00CC3DC4"/>
    <w:rsid w:val="00CC787F"/>
    <w:rsid w:val="00CD4543"/>
    <w:rsid w:val="00CE27D0"/>
    <w:rsid w:val="00D54497"/>
    <w:rsid w:val="00D85740"/>
    <w:rsid w:val="00D968BF"/>
    <w:rsid w:val="00DE018A"/>
    <w:rsid w:val="00F12DEA"/>
    <w:rsid w:val="00F21AC9"/>
    <w:rsid w:val="00F845F6"/>
    <w:rsid w:val="00F86FA0"/>
    <w:rsid w:val="00F97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8B1C4-77EF-4F47-9597-C5614E8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AA"/>
  </w:style>
  <w:style w:type="paragraph" w:styleId="Ttulo1">
    <w:name w:val="heading 1"/>
    <w:basedOn w:val="Normal1"/>
    <w:next w:val="Normal1"/>
    <w:rsid w:val="00C64CA1"/>
    <w:pPr>
      <w:keepNext/>
      <w:spacing w:before="240" w:after="60"/>
      <w:ind w:left="720" w:hanging="720"/>
      <w:outlineLvl w:val="0"/>
    </w:pPr>
    <w:rPr>
      <w:rFonts w:ascii="Cambria" w:eastAsia="Cambria" w:hAnsi="Cambria" w:cs="Cambria"/>
      <w:b/>
      <w:sz w:val="32"/>
      <w:szCs w:val="32"/>
    </w:rPr>
  </w:style>
  <w:style w:type="paragraph" w:styleId="Ttulo2">
    <w:name w:val="heading 2"/>
    <w:basedOn w:val="Normal1"/>
    <w:next w:val="Normal1"/>
    <w:rsid w:val="00C64CA1"/>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1"/>
    <w:next w:val="Normal1"/>
    <w:rsid w:val="00C64CA1"/>
    <w:pPr>
      <w:keepNext/>
      <w:spacing w:before="240" w:after="60"/>
      <w:ind w:left="2160" w:hanging="720"/>
      <w:outlineLvl w:val="2"/>
    </w:pPr>
    <w:rPr>
      <w:rFonts w:ascii="Cambria" w:eastAsia="Cambria" w:hAnsi="Cambria" w:cs="Cambria"/>
      <w:b/>
      <w:sz w:val="26"/>
      <w:szCs w:val="26"/>
    </w:rPr>
  </w:style>
  <w:style w:type="paragraph" w:styleId="Ttulo4">
    <w:name w:val="heading 4"/>
    <w:basedOn w:val="Normal1"/>
    <w:next w:val="Normal1"/>
    <w:rsid w:val="00C64CA1"/>
    <w:pPr>
      <w:keepNext/>
      <w:spacing w:before="240" w:after="60"/>
      <w:ind w:left="2880" w:hanging="720"/>
      <w:outlineLvl w:val="3"/>
    </w:pPr>
    <w:rPr>
      <w:rFonts w:ascii="Calibri" w:eastAsia="Calibri" w:hAnsi="Calibri" w:cs="Calibri"/>
      <w:b/>
      <w:sz w:val="28"/>
      <w:szCs w:val="28"/>
    </w:rPr>
  </w:style>
  <w:style w:type="paragraph" w:styleId="Ttulo5">
    <w:name w:val="heading 5"/>
    <w:basedOn w:val="Normal1"/>
    <w:next w:val="Normal1"/>
    <w:rsid w:val="00C64CA1"/>
    <w:pPr>
      <w:spacing w:before="240" w:after="60"/>
      <w:ind w:left="3600" w:hanging="720"/>
      <w:outlineLvl w:val="4"/>
    </w:pPr>
    <w:rPr>
      <w:rFonts w:ascii="Calibri" w:eastAsia="Calibri" w:hAnsi="Calibri" w:cs="Calibri"/>
      <w:b/>
      <w:i/>
      <w:sz w:val="26"/>
      <w:szCs w:val="26"/>
    </w:rPr>
  </w:style>
  <w:style w:type="paragraph" w:styleId="Ttulo6">
    <w:name w:val="heading 6"/>
    <w:basedOn w:val="Normal1"/>
    <w:next w:val="Normal1"/>
    <w:rsid w:val="00C64CA1"/>
    <w:pPr>
      <w:spacing w:before="240" w:after="60"/>
      <w:ind w:left="4320" w:hanging="720"/>
      <w:outlineLvl w:val="5"/>
    </w:pPr>
    <w:rPr>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64CA1"/>
  </w:style>
  <w:style w:type="table" w:customStyle="1" w:styleId="TableNormal">
    <w:name w:val="Table Normal"/>
    <w:rsid w:val="00C64CA1"/>
    <w:tblPr>
      <w:tblCellMar>
        <w:top w:w="0" w:type="dxa"/>
        <w:left w:w="0" w:type="dxa"/>
        <w:bottom w:w="0" w:type="dxa"/>
        <w:right w:w="0" w:type="dxa"/>
      </w:tblCellMar>
    </w:tblPr>
  </w:style>
  <w:style w:type="paragraph" w:styleId="Ttulo">
    <w:name w:val="Title"/>
    <w:basedOn w:val="Normal1"/>
    <w:next w:val="Normal1"/>
    <w:rsid w:val="00C64CA1"/>
    <w:pPr>
      <w:keepNext/>
      <w:keepLines/>
      <w:spacing w:before="480" w:after="120"/>
    </w:pPr>
    <w:rPr>
      <w:b/>
      <w:sz w:val="72"/>
      <w:szCs w:val="72"/>
    </w:rPr>
  </w:style>
  <w:style w:type="paragraph" w:styleId="Subttulo">
    <w:name w:val="Subtitle"/>
    <w:basedOn w:val="Normal1"/>
    <w:next w:val="Normal1"/>
    <w:rsid w:val="00C64CA1"/>
    <w:pPr>
      <w:keepNext/>
      <w:keepLines/>
      <w:spacing w:before="360" w:after="80"/>
    </w:pPr>
    <w:rPr>
      <w:rFonts w:ascii="Georgia" w:eastAsia="Georgia" w:hAnsi="Georgia" w:cs="Georgia"/>
      <w:i/>
      <w:color w:val="666666"/>
      <w:sz w:val="48"/>
      <w:szCs w:val="48"/>
    </w:rPr>
  </w:style>
  <w:style w:type="table" w:customStyle="1" w:styleId="a">
    <w:basedOn w:val="TableNormal"/>
    <w:rsid w:val="00C64CA1"/>
    <w:tblPr>
      <w:tblStyleRowBandSize w:val="1"/>
      <w:tblStyleColBandSize w:val="1"/>
      <w:tblCellMar>
        <w:top w:w="0" w:type="dxa"/>
        <w:left w:w="70" w:type="dxa"/>
        <w:bottom w:w="0" w:type="dxa"/>
        <w:right w:w="70" w:type="dxa"/>
      </w:tblCellMar>
    </w:tblPr>
  </w:style>
  <w:style w:type="table" w:customStyle="1" w:styleId="a0">
    <w:basedOn w:val="TableNormal"/>
    <w:rsid w:val="00C64CA1"/>
    <w:tblPr>
      <w:tblStyleRowBandSize w:val="1"/>
      <w:tblStyleColBandSize w:val="1"/>
      <w:tblCellMar>
        <w:top w:w="0" w:type="dxa"/>
        <w:left w:w="70" w:type="dxa"/>
        <w:bottom w:w="0" w:type="dxa"/>
        <w:right w:w="70" w:type="dxa"/>
      </w:tblCellMar>
    </w:tblPr>
  </w:style>
  <w:style w:type="paragraph" w:styleId="Cabealho">
    <w:name w:val="header"/>
    <w:basedOn w:val="Normal"/>
    <w:link w:val="CabealhoChar"/>
    <w:uiPriority w:val="99"/>
    <w:unhideWhenUsed/>
    <w:rsid w:val="008A4F45"/>
    <w:pPr>
      <w:tabs>
        <w:tab w:val="center" w:pos="4252"/>
        <w:tab w:val="right" w:pos="8504"/>
      </w:tabs>
    </w:pPr>
  </w:style>
  <w:style w:type="character" w:customStyle="1" w:styleId="CabealhoChar">
    <w:name w:val="Cabeçalho Char"/>
    <w:basedOn w:val="Fontepargpadro"/>
    <w:link w:val="Cabealho"/>
    <w:uiPriority w:val="99"/>
    <w:rsid w:val="008A4F45"/>
  </w:style>
  <w:style w:type="paragraph" w:styleId="Rodap">
    <w:name w:val="footer"/>
    <w:basedOn w:val="Normal"/>
    <w:link w:val="RodapChar"/>
    <w:uiPriority w:val="99"/>
    <w:unhideWhenUsed/>
    <w:rsid w:val="008A4F45"/>
    <w:pPr>
      <w:tabs>
        <w:tab w:val="center" w:pos="4252"/>
        <w:tab w:val="right" w:pos="8504"/>
      </w:tabs>
    </w:pPr>
  </w:style>
  <w:style w:type="character" w:customStyle="1" w:styleId="RodapChar">
    <w:name w:val="Rodapé Char"/>
    <w:basedOn w:val="Fontepargpadro"/>
    <w:link w:val="Rodap"/>
    <w:uiPriority w:val="99"/>
    <w:rsid w:val="008A4F45"/>
  </w:style>
  <w:style w:type="paragraph" w:styleId="Corpodetexto">
    <w:name w:val="Body Text"/>
    <w:basedOn w:val="Normal"/>
    <w:link w:val="CorpodetextoChar"/>
    <w:unhideWhenUsed/>
    <w:rsid w:val="00412716"/>
    <w:pPr>
      <w:spacing w:line="360" w:lineRule="auto"/>
      <w:jc w:val="both"/>
    </w:pPr>
    <w:rPr>
      <w:rFonts w:ascii="CG Times" w:hAnsi="CG Times"/>
      <w:sz w:val="28"/>
    </w:rPr>
  </w:style>
  <w:style w:type="character" w:customStyle="1" w:styleId="CorpodetextoChar">
    <w:name w:val="Corpo de texto Char"/>
    <w:basedOn w:val="Fontepargpadro"/>
    <w:link w:val="Corpodetexto"/>
    <w:rsid w:val="00412716"/>
    <w:rPr>
      <w:rFonts w:ascii="CG Times" w:hAnsi="CG Times"/>
      <w:sz w:val="28"/>
    </w:rPr>
  </w:style>
  <w:style w:type="paragraph" w:styleId="SemEspaamento">
    <w:name w:val="No Spacing"/>
    <w:uiPriority w:val="1"/>
    <w:qFormat/>
    <w:rsid w:val="000D35AD"/>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D96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3064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997F-BCFC-4523-BC4F-E75C0915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4177</Words>
  <Characters>22558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Gleysa de Oliveira Guedes</dc:creator>
  <cp:lastModifiedBy>Vanessa</cp:lastModifiedBy>
  <cp:revision>5</cp:revision>
  <cp:lastPrinted>2018-12-27T16:16:00Z</cp:lastPrinted>
  <dcterms:created xsi:type="dcterms:W3CDTF">2019-03-27T19:02:00Z</dcterms:created>
  <dcterms:modified xsi:type="dcterms:W3CDTF">2020-07-02T03:17:00Z</dcterms:modified>
</cp:coreProperties>
</file>