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C08" w:rsidRPr="00453C08" w:rsidRDefault="00453C08" w:rsidP="00453C08">
      <w:pPr>
        <w:pStyle w:val="Corpodetexto"/>
        <w:spacing w:line="240" w:lineRule="auto"/>
        <w:jc w:val="center"/>
        <w:rPr>
          <w:rFonts w:ascii="Times New Roman" w:hAnsi="Times New Roman"/>
          <w:sz w:val="24"/>
          <w:szCs w:val="24"/>
        </w:rPr>
      </w:pPr>
      <w:r w:rsidRPr="00453C08">
        <w:rPr>
          <w:rFonts w:ascii="Times New Roman" w:hAnsi="Times New Roman"/>
          <w:sz w:val="24"/>
          <w:szCs w:val="24"/>
        </w:rPr>
        <w:t xml:space="preserve">LEI N. </w:t>
      </w:r>
      <w:r w:rsidR="00B167C5">
        <w:rPr>
          <w:rFonts w:ascii="Times New Roman" w:hAnsi="Times New Roman"/>
          <w:sz w:val="24"/>
          <w:szCs w:val="24"/>
        </w:rPr>
        <w:t>4.386</w:t>
      </w:r>
      <w:r w:rsidRPr="00453C08">
        <w:rPr>
          <w:rFonts w:ascii="Times New Roman" w:hAnsi="Times New Roman"/>
          <w:sz w:val="24"/>
          <w:szCs w:val="24"/>
        </w:rPr>
        <w:t xml:space="preserve">, DE </w:t>
      </w:r>
      <w:r w:rsidR="00B167C5">
        <w:rPr>
          <w:rFonts w:ascii="Times New Roman" w:hAnsi="Times New Roman"/>
          <w:sz w:val="24"/>
          <w:szCs w:val="24"/>
        </w:rPr>
        <w:t>27</w:t>
      </w:r>
      <w:r w:rsidRPr="00453C08">
        <w:rPr>
          <w:rFonts w:ascii="Times New Roman" w:hAnsi="Times New Roman"/>
          <w:sz w:val="24"/>
          <w:szCs w:val="24"/>
        </w:rPr>
        <w:t xml:space="preserve"> DE SETEMBRO DE 2018.</w:t>
      </w:r>
    </w:p>
    <w:p w:rsidR="00453C08" w:rsidRPr="00453C08" w:rsidRDefault="00453C08" w:rsidP="00453C08">
      <w:pPr>
        <w:pStyle w:val="Corpodetexto"/>
        <w:spacing w:line="240" w:lineRule="auto"/>
        <w:rPr>
          <w:rFonts w:ascii="Times New Roman" w:hAnsi="Times New Roman"/>
          <w:b/>
          <w:sz w:val="24"/>
          <w:szCs w:val="24"/>
        </w:rPr>
      </w:pPr>
    </w:p>
    <w:p w:rsidR="00453C08" w:rsidRPr="00453C08" w:rsidRDefault="00453C08" w:rsidP="00453C08">
      <w:pPr>
        <w:pStyle w:val="Corpodetexto"/>
        <w:spacing w:line="240" w:lineRule="auto"/>
        <w:ind w:left="5103"/>
        <w:rPr>
          <w:rFonts w:ascii="Times New Roman" w:hAnsi="Times New Roman"/>
          <w:b/>
          <w:sz w:val="24"/>
          <w:szCs w:val="24"/>
        </w:rPr>
      </w:pPr>
      <w:r w:rsidRPr="00453C08">
        <w:rPr>
          <w:rFonts w:ascii="Times New Roman" w:hAnsi="Times New Roman"/>
          <w:sz w:val="24"/>
          <w:szCs w:val="24"/>
        </w:rPr>
        <w:t xml:space="preserve">Autoriza o Poder Executivo a abrir crédito suplementar por desvinculação de receita, até o montante de R$ 54.225.203,82, em favor das Unidades Orçamentárias: Recursos sob a Supervisão da </w:t>
      </w:r>
      <w:proofErr w:type="spellStart"/>
      <w:r w:rsidRPr="00453C08">
        <w:rPr>
          <w:rFonts w:ascii="Times New Roman" w:hAnsi="Times New Roman"/>
          <w:sz w:val="24"/>
          <w:szCs w:val="24"/>
        </w:rPr>
        <w:t>Sefin</w:t>
      </w:r>
      <w:proofErr w:type="spellEnd"/>
      <w:r w:rsidRPr="00453C08">
        <w:rPr>
          <w:rFonts w:ascii="Times New Roman" w:hAnsi="Times New Roman"/>
          <w:sz w:val="24"/>
          <w:szCs w:val="24"/>
        </w:rPr>
        <w:t xml:space="preserve"> - RS-SEFIN e Secretaria de Estado da Justiça - SEJUS.</w:t>
      </w:r>
    </w:p>
    <w:p w:rsidR="00453C08" w:rsidRPr="00453C08" w:rsidRDefault="00453C08" w:rsidP="00453C08">
      <w:pPr>
        <w:pStyle w:val="Corpodetexto"/>
        <w:spacing w:line="240" w:lineRule="auto"/>
        <w:jc w:val="center"/>
        <w:rPr>
          <w:rFonts w:ascii="Times New Roman" w:hAnsi="Times New Roman"/>
          <w:b/>
          <w:sz w:val="24"/>
          <w:szCs w:val="24"/>
        </w:rPr>
      </w:pPr>
    </w:p>
    <w:p w:rsidR="00453C08" w:rsidRPr="00453C08" w:rsidRDefault="00453C08" w:rsidP="00453C08">
      <w:pPr>
        <w:pStyle w:val="xl27"/>
        <w:tabs>
          <w:tab w:val="left" w:pos="-1701"/>
        </w:tabs>
        <w:spacing w:before="0" w:beforeAutospacing="0" w:after="0" w:afterAutospacing="0"/>
        <w:ind w:firstLine="561"/>
        <w:textAlignment w:val="auto"/>
        <w:rPr>
          <w:rFonts w:ascii="Times New Roman" w:eastAsia="Times New Roman" w:hAnsi="Times New Roman" w:cs="Times New Roman"/>
        </w:rPr>
      </w:pPr>
      <w:r w:rsidRPr="00453C08">
        <w:rPr>
          <w:rFonts w:ascii="Times New Roman" w:eastAsia="Times New Roman" w:hAnsi="Times New Roman" w:cs="Times New Roman"/>
        </w:rPr>
        <w:t>O GOVERNADOR DO ESTADO DE RONDÔNIA:</w:t>
      </w:r>
    </w:p>
    <w:p w:rsidR="00453C08" w:rsidRPr="00453C08" w:rsidRDefault="00453C08" w:rsidP="00453C08">
      <w:pPr>
        <w:ind w:firstLine="567"/>
        <w:jc w:val="both"/>
      </w:pPr>
      <w:r w:rsidRPr="00453C08">
        <w:t>Faço saber que a Assembleia Legislativa decreta e eu sanciono a seguinte Lei:</w:t>
      </w:r>
    </w:p>
    <w:p w:rsidR="00453C08" w:rsidRPr="00453C08" w:rsidRDefault="00453C08" w:rsidP="00453C08">
      <w:pPr>
        <w:ind w:firstLine="561"/>
        <w:jc w:val="both"/>
      </w:pPr>
    </w:p>
    <w:p w:rsidR="00453C08" w:rsidRPr="00453C08" w:rsidRDefault="00453C08" w:rsidP="00453C08">
      <w:pPr>
        <w:ind w:firstLine="567"/>
        <w:jc w:val="both"/>
      </w:pPr>
      <w:r w:rsidRPr="00453C08">
        <w:t xml:space="preserve">Art. 1º. Fica o Poder Executivo autorizado a abrir crédito suplementar por desvinculação de receita na Fonte “0148 - Recursos de Desvinculação de Receitas - EC nº 93/2016”, até o montante de R$ 54.225.203,82 (cinquenta e quatro milhões, duzentos e vinte e cinco mil, duzentos e três reais e oitenta e dois centavos), em favor das Unidades Orçamentárias: Recursos sob a Supervisão da </w:t>
      </w:r>
      <w:proofErr w:type="spellStart"/>
      <w:r w:rsidRPr="00453C08">
        <w:t>Sefin</w:t>
      </w:r>
      <w:proofErr w:type="spellEnd"/>
      <w:r w:rsidRPr="00453C08">
        <w:t xml:space="preserve"> - RS-SEFIN e Secretaria de Estado da Justiça - SEJUS, para dar cobertura orçamentária às despesas corrente e de capital, no presente exercício.</w:t>
      </w:r>
    </w:p>
    <w:p w:rsidR="00453C08" w:rsidRPr="00453C08" w:rsidRDefault="00453C08" w:rsidP="00453C08">
      <w:pPr>
        <w:ind w:firstLine="567"/>
        <w:jc w:val="both"/>
      </w:pPr>
    </w:p>
    <w:p w:rsidR="00453C08" w:rsidRPr="00453C08" w:rsidRDefault="00453C08" w:rsidP="00453C08">
      <w:pPr>
        <w:ind w:firstLine="567"/>
        <w:jc w:val="both"/>
      </w:pPr>
      <w:r w:rsidRPr="00453C08">
        <w:t xml:space="preserve">Art. 2º. Os recursos necessários à execução do disposto no artigo anterior decorrerão da desvinculação de receita nos termos do Decreto nº 23.115, de 15 de agosto de 2018, no montante indicado no Anexo II desta Lei. </w:t>
      </w:r>
    </w:p>
    <w:p w:rsidR="00453C08" w:rsidRPr="00453C08" w:rsidRDefault="00453C08" w:rsidP="00453C08">
      <w:pPr>
        <w:ind w:firstLine="567"/>
        <w:jc w:val="both"/>
      </w:pPr>
    </w:p>
    <w:p w:rsidR="00453C08" w:rsidRPr="00453C08" w:rsidRDefault="00453C08" w:rsidP="00453C08">
      <w:pPr>
        <w:ind w:firstLine="567"/>
        <w:jc w:val="both"/>
      </w:pPr>
      <w:r w:rsidRPr="00453C08">
        <w:t>Art. 3º. Fica o Poder Executivo autorizado a anular dotação até o montante desvinculado da Fonte/Destinação objeto da desvinculação.</w:t>
      </w:r>
    </w:p>
    <w:p w:rsidR="00453C08" w:rsidRPr="00453C08" w:rsidRDefault="00453C08" w:rsidP="00453C08">
      <w:pPr>
        <w:ind w:firstLine="567"/>
        <w:jc w:val="both"/>
      </w:pPr>
    </w:p>
    <w:p w:rsidR="00453C08" w:rsidRPr="00453C08" w:rsidRDefault="00453C08" w:rsidP="00453C08">
      <w:pPr>
        <w:ind w:firstLine="567"/>
        <w:jc w:val="both"/>
      </w:pPr>
      <w:r w:rsidRPr="00453C08">
        <w:t xml:space="preserve">Art. 4º. Esta Lei entra em vigor na data de sua publicação. </w:t>
      </w:r>
    </w:p>
    <w:p w:rsidR="00453C08" w:rsidRPr="00FC73F2" w:rsidRDefault="00453C08" w:rsidP="00453C08">
      <w:pPr>
        <w:ind w:firstLine="561"/>
        <w:jc w:val="both"/>
        <w:rPr>
          <w:szCs w:val="26"/>
        </w:rPr>
      </w:pPr>
    </w:p>
    <w:p w:rsidR="00453C08" w:rsidRPr="00A86CC5" w:rsidRDefault="00453C08" w:rsidP="00453C08">
      <w:pPr>
        <w:ind w:firstLine="567"/>
        <w:jc w:val="both"/>
      </w:pPr>
      <w:r w:rsidRPr="00A86CC5">
        <w:t>Palácio do Governo do Estado de Rondônia, em</w:t>
      </w:r>
      <w:r>
        <w:t xml:space="preserve"> </w:t>
      </w:r>
      <w:r w:rsidR="00B167C5">
        <w:t>27</w:t>
      </w:r>
      <w:r>
        <w:t xml:space="preserve"> </w:t>
      </w:r>
      <w:bookmarkStart w:id="0" w:name="_GoBack"/>
      <w:bookmarkEnd w:id="0"/>
      <w:r w:rsidRPr="00A86CC5">
        <w:t>de</w:t>
      </w:r>
      <w:r>
        <w:t xml:space="preserve"> setembro de 2018, 130</w:t>
      </w:r>
      <w:r w:rsidRPr="00A86CC5">
        <w:t xml:space="preserve">º da República.  </w:t>
      </w:r>
    </w:p>
    <w:p w:rsidR="00453C08" w:rsidRPr="00A86CC5" w:rsidRDefault="00453C08" w:rsidP="00453C08">
      <w:pPr>
        <w:ind w:firstLine="567"/>
        <w:jc w:val="both"/>
      </w:pPr>
    </w:p>
    <w:p w:rsidR="00453C08" w:rsidRPr="00A86CC5" w:rsidRDefault="00453C08" w:rsidP="00453C08">
      <w:pPr>
        <w:tabs>
          <w:tab w:val="left" w:pos="4365"/>
        </w:tabs>
        <w:jc w:val="center"/>
        <w:rPr>
          <w:b/>
        </w:rPr>
      </w:pPr>
    </w:p>
    <w:p w:rsidR="00453C08" w:rsidRPr="00A86CC5" w:rsidRDefault="00453C08" w:rsidP="00453C08">
      <w:pPr>
        <w:tabs>
          <w:tab w:val="left" w:pos="4365"/>
        </w:tabs>
        <w:jc w:val="center"/>
        <w:rPr>
          <w:b/>
        </w:rPr>
      </w:pPr>
    </w:p>
    <w:p w:rsidR="00453C08" w:rsidRPr="00A86CC5" w:rsidRDefault="00453C08" w:rsidP="00453C08">
      <w:pPr>
        <w:tabs>
          <w:tab w:val="left" w:pos="4365"/>
        </w:tabs>
        <w:jc w:val="center"/>
        <w:rPr>
          <w:b/>
        </w:rPr>
      </w:pPr>
      <w:r>
        <w:rPr>
          <w:b/>
        </w:rPr>
        <w:t>DANIEL PEREIRA</w:t>
      </w:r>
    </w:p>
    <w:p w:rsidR="00453C08" w:rsidRPr="00A86CC5" w:rsidRDefault="00453C08" w:rsidP="00453C08">
      <w:pPr>
        <w:jc w:val="center"/>
        <w:rPr>
          <w:b/>
        </w:rPr>
      </w:pPr>
      <w:r w:rsidRPr="00A86CC5">
        <w:t>Governador</w:t>
      </w:r>
    </w:p>
    <w:p w:rsidR="00453C08" w:rsidRPr="00A86CC5" w:rsidRDefault="00453C08" w:rsidP="00453C08">
      <w:pPr>
        <w:ind w:firstLine="567"/>
        <w:jc w:val="both"/>
      </w:pPr>
    </w:p>
    <w:p w:rsidR="00453C08" w:rsidRPr="00A86CC5" w:rsidRDefault="00453C08" w:rsidP="00453C08"/>
    <w:p w:rsidR="00453C08" w:rsidRPr="00FC73F2" w:rsidRDefault="00453C08" w:rsidP="00453C08">
      <w:pPr>
        <w:jc w:val="center"/>
        <w:rPr>
          <w:b/>
          <w:szCs w:val="26"/>
        </w:rPr>
      </w:pPr>
    </w:p>
    <w:p w:rsidR="00453C08" w:rsidRPr="00FC73F2" w:rsidRDefault="00453C08" w:rsidP="00453C08">
      <w:pPr>
        <w:rPr>
          <w:sz w:val="22"/>
        </w:rPr>
      </w:pPr>
    </w:p>
    <w:p w:rsidR="00453C08" w:rsidRPr="00FC73F2" w:rsidRDefault="00453C08" w:rsidP="00453C08">
      <w:pPr>
        <w:rPr>
          <w:sz w:val="22"/>
        </w:rPr>
      </w:pPr>
    </w:p>
    <w:p w:rsidR="00453C08" w:rsidRPr="00FC73F2" w:rsidRDefault="00453C08" w:rsidP="00453C08">
      <w:pPr>
        <w:rPr>
          <w:sz w:val="22"/>
        </w:rPr>
      </w:pPr>
    </w:p>
    <w:p w:rsidR="00453C08" w:rsidRPr="00FC73F2" w:rsidRDefault="00453C08" w:rsidP="00453C08">
      <w:pPr>
        <w:rPr>
          <w:sz w:val="22"/>
        </w:rPr>
      </w:pPr>
    </w:p>
    <w:p w:rsidR="00453C08" w:rsidRPr="00FC73F2" w:rsidRDefault="00453C08" w:rsidP="00453C08">
      <w:pPr>
        <w:rPr>
          <w:sz w:val="22"/>
        </w:rPr>
      </w:pPr>
    </w:p>
    <w:p w:rsidR="00453C08" w:rsidRPr="00FC73F2"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5C6F97" w:rsidRDefault="005C6F97" w:rsidP="00453C08">
      <w:pPr>
        <w:rPr>
          <w:sz w:val="22"/>
        </w:rPr>
      </w:pPr>
    </w:p>
    <w:p w:rsidR="005C6F97" w:rsidRDefault="005C6F97" w:rsidP="00453C08">
      <w:pPr>
        <w:rPr>
          <w:sz w:val="22"/>
        </w:rPr>
      </w:pPr>
    </w:p>
    <w:p w:rsidR="005C6F97" w:rsidRDefault="005C6F97" w:rsidP="00453C08">
      <w:pPr>
        <w:rPr>
          <w:sz w:val="22"/>
        </w:rPr>
      </w:pPr>
    </w:p>
    <w:p w:rsidR="00453C08" w:rsidRDefault="00453C08" w:rsidP="00453C08">
      <w:pPr>
        <w:rPr>
          <w:sz w:val="22"/>
        </w:rPr>
      </w:pPr>
    </w:p>
    <w:p w:rsidR="00453C08" w:rsidRDefault="00453C08" w:rsidP="00453C08">
      <w:pPr>
        <w:jc w:val="center"/>
        <w:rPr>
          <w:b/>
          <w:bCs/>
          <w:szCs w:val="18"/>
        </w:rPr>
      </w:pPr>
      <w:r w:rsidRPr="002F16FC">
        <w:rPr>
          <w:b/>
          <w:bCs/>
          <w:szCs w:val="18"/>
        </w:rPr>
        <w:t xml:space="preserve">ANEXO I </w:t>
      </w:r>
    </w:p>
    <w:p w:rsidR="00453C08" w:rsidRPr="002F16FC" w:rsidRDefault="00453C08" w:rsidP="00453C08">
      <w:pPr>
        <w:jc w:val="center"/>
        <w:rPr>
          <w:szCs w:val="18"/>
        </w:rPr>
      </w:pPr>
    </w:p>
    <w:p w:rsidR="00453C08" w:rsidRDefault="00453C08" w:rsidP="00453C08">
      <w:pPr>
        <w:rPr>
          <w:sz w:val="18"/>
          <w:szCs w:val="18"/>
        </w:rPr>
      </w:pPr>
      <w:r>
        <w:t xml:space="preserve"> </w:t>
      </w:r>
      <w:r>
        <w:rPr>
          <w:b/>
          <w:bCs/>
          <w:sz w:val="18"/>
          <w:szCs w:val="18"/>
        </w:rPr>
        <w:t>DESPESAS                                                                                                                                                                              SUPLEMENTA</w:t>
      </w:r>
    </w:p>
    <w:tbl>
      <w:tblPr>
        <w:tblW w:w="10137"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49"/>
        <w:gridCol w:w="4217"/>
        <w:gridCol w:w="1054"/>
        <w:gridCol w:w="949"/>
        <w:gridCol w:w="1368"/>
      </w:tblGrid>
      <w:tr w:rsidR="00453C08" w:rsidTr="00BE1429">
        <w:trPr>
          <w:tblCellSpacing w:w="0" w:type="dxa"/>
          <w:jc w:val="center"/>
        </w:trPr>
        <w:tc>
          <w:tcPr>
            <w:tcW w:w="2549" w:type="dxa"/>
            <w:tcBorders>
              <w:top w:val="outset" w:sz="6" w:space="0" w:color="auto"/>
              <w:left w:val="outset" w:sz="6" w:space="0" w:color="auto"/>
              <w:bottom w:val="outset" w:sz="6" w:space="0" w:color="auto"/>
              <w:right w:val="outset" w:sz="6" w:space="0" w:color="auto"/>
            </w:tcBorders>
            <w:vAlign w:val="center"/>
            <w:hideMark/>
          </w:tcPr>
          <w:p w:rsidR="00453C08" w:rsidRDefault="00453C08" w:rsidP="00BE1429">
            <w:pPr>
              <w:jc w:val="center"/>
              <w:rPr>
                <w:b/>
                <w:bCs/>
                <w:sz w:val="18"/>
                <w:szCs w:val="18"/>
              </w:rPr>
            </w:pPr>
            <w:r>
              <w:rPr>
                <w:b/>
                <w:bCs/>
                <w:sz w:val="18"/>
                <w:szCs w:val="18"/>
              </w:rPr>
              <w:t>Código</w:t>
            </w:r>
          </w:p>
        </w:tc>
        <w:tc>
          <w:tcPr>
            <w:tcW w:w="4217" w:type="dxa"/>
            <w:tcBorders>
              <w:top w:val="outset" w:sz="6" w:space="0" w:color="auto"/>
              <w:left w:val="outset" w:sz="6" w:space="0" w:color="auto"/>
              <w:bottom w:val="outset" w:sz="6" w:space="0" w:color="auto"/>
              <w:right w:val="outset" w:sz="6" w:space="0" w:color="auto"/>
            </w:tcBorders>
            <w:vAlign w:val="center"/>
            <w:hideMark/>
          </w:tcPr>
          <w:p w:rsidR="00453C08" w:rsidRDefault="00453C08" w:rsidP="00BE1429">
            <w:pPr>
              <w:jc w:val="center"/>
              <w:rPr>
                <w:b/>
                <w:bCs/>
                <w:sz w:val="18"/>
                <w:szCs w:val="18"/>
              </w:rPr>
            </w:pPr>
            <w:r>
              <w:rPr>
                <w:b/>
                <w:bCs/>
                <w:sz w:val="18"/>
                <w:szCs w:val="18"/>
              </w:rPr>
              <w:t>Especificação</w:t>
            </w:r>
          </w:p>
        </w:tc>
        <w:tc>
          <w:tcPr>
            <w:tcW w:w="1054" w:type="dxa"/>
            <w:tcBorders>
              <w:top w:val="outset" w:sz="6" w:space="0" w:color="auto"/>
              <w:left w:val="outset" w:sz="6" w:space="0" w:color="auto"/>
              <w:bottom w:val="outset" w:sz="6" w:space="0" w:color="auto"/>
              <w:right w:val="outset" w:sz="6" w:space="0" w:color="auto"/>
            </w:tcBorders>
            <w:vAlign w:val="center"/>
            <w:hideMark/>
          </w:tcPr>
          <w:p w:rsidR="00453C08" w:rsidRDefault="00453C08" w:rsidP="00BE1429">
            <w:pPr>
              <w:jc w:val="center"/>
              <w:rPr>
                <w:b/>
                <w:bCs/>
                <w:sz w:val="18"/>
                <w:szCs w:val="18"/>
              </w:rPr>
            </w:pPr>
            <w:r>
              <w:rPr>
                <w:b/>
                <w:bCs/>
                <w:sz w:val="18"/>
                <w:szCs w:val="18"/>
              </w:rPr>
              <w:t>Despesa</w:t>
            </w:r>
          </w:p>
        </w:tc>
        <w:tc>
          <w:tcPr>
            <w:tcW w:w="949" w:type="dxa"/>
            <w:tcBorders>
              <w:top w:val="outset" w:sz="6" w:space="0" w:color="auto"/>
              <w:left w:val="outset" w:sz="6" w:space="0" w:color="auto"/>
              <w:bottom w:val="outset" w:sz="6" w:space="0" w:color="auto"/>
              <w:right w:val="outset" w:sz="6" w:space="0" w:color="auto"/>
            </w:tcBorders>
            <w:vAlign w:val="center"/>
            <w:hideMark/>
          </w:tcPr>
          <w:p w:rsidR="00453C08" w:rsidRDefault="00453C08" w:rsidP="00BE1429">
            <w:pPr>
              <w:jc w:val="center"/>
              <w:rPr>
                <w:b/>
                <w:bCs/>
                <w:sz w:val="18"/>
                <w:szCs w:val="18"/>
              </w:rPr>
            </w:pPr>
            <w:r>
              <w:rPr>
                <w:b/>
                <w:bCs/>
                <w:sz w:val="18"/>
                <w:szCs w:val="18"/>
              </w:rPr>
              <w:t>Fonte de Recurso</w:t>
            </w:r>
          </w:p>
        </w:tc>
        <w:tc>
          <w:tcPr>
            <w:tcW w:w="1368" w:type="dxa"/>
            <w:tcBorders>
              <w:top w:val="outset" w:sz="6" w:space="0" w:color="auto"/>
              <w:left w:val="outset" w:sz="6" w:space="0" w:color="auto"/>
              <w:bottom w:val="outset" w:sz="6" w:space="0" w:color="auto"/>
              <w:right w:val="outset" w:sz="6" w:space="0" w:color="auto"/>
            </w:tcBorders>
            <w:vAlign w:val="center"/>
            <w:hideMark/>
          </w:tcPr>
          <w:p w:rsidR="00453C08" w:rsidRDefault="00453C08" w:rsidP="00BE1429">
            <w:pPr>
              <w:jc w:val="center"/>
              <w:rPr>
                <w:b/>
                <w:bCs/>
                <w:sz w:val="18"/>
                <w:szCs w:val="18"/>
              </w:rPr>
            </w:pPr>
            <w:r>
              <w:rPr>
                <w:b/>
                <w:bCs/>
                <w:sz w:val="18"/>
                <w:szCs w:val="18"/>
              </w:rPr>
              <w:t>Valor</w:t>
            </w:r>
          </w:p>
        </w:tc>
      </w:tr>
    </w:tbl>
    <w:p w:rsidR="00453C08" w:rsidRDefault="00453C08" w:rsidP="00453C08">
      <w:pPr>
        <w:jc w:val="both"/>
        <w:rPr>
          <w:vanish/>
        </w:rPr>
      </w:pPr>
    </w:p>
    <w:tbl>
      <w:tblPr>
        <w:tblW w:w="10350" w:type="dxa"/>
        <w:jc w:val="center"/>
        <w:tblCellSpacing w:w="0" w:type="dxa"/>
        <w:tblCellMar>
          <w:top w:w="75" w:type="dxa"/>
          <w:left w:w="75" w:type="dxa"/>
          <w:bottom w:w="75" w:type="dxa"/>
          <w:right w:w="75" w:type="dxa"/>
        </w:tblCellMar>
        <w:tblLook w:val="04A0" w:firstRow="1" w:lastRow="0" w:firstColumn="1" w:lastColumn="0" w:noHBand="0" w:noVBand="1"/>
      </w:tblPr>
      <w:tblGrid>
        <w:gridCol w:w="2536"/>
        <w:gridCol w:w="4198"/>
        <w:gridCol w:w="1050"/>
        <w:gridCol w:w="875"/>
        <w:gridCol w:w="1691"/>
      </w:tblGrid>
      <w:tr w:rsidR="00453C08" w:rsidTr="00BE1429">
        <w:trPr>
          <w:tblCellSpacing w:w="0" w:type="dxa"/>
          <w:jc w:val="center"/>
        </w:trPr>
        <w:tc>
          <w:tcPr>
            <w:tcW w:w="2536" w:type="dxa"/>
            <w:vAlign w:val="center"/>
            <w:hideMark/>
          </w:tcPr>
          <w:p w:rsidR="00453C08" w:rsidRDefault="00453C08" w:rsidP="00BE1429">
            <w:pPr>
              <w:rPr>
                <w:sz w:val="18"/>
                <w:szCs w:val="18"/>
              </w:rPr>
            </w:pPr>
          </w:p>
        </w:tc>
        <w:tc>
          <w:tcPr>
            <w:tcW w:w="4198" w:type="dxa"/>
            <w:vAlign w:val="center"/>
            <w:hideMark/>
          </w:tcPr>
          <w:p w:rsidR="00453C08" w:rsidRDefault="00453C08" w:rsidP="00BE1429">
            <w:pPr>
              <w:rPr>
                <w:sz w:val="18"/>
                <w:szCs w:val="18"/>
              </w:rPr>
            </w:pPr>
            <w:r>
              <w:rPr>
                <w:b/>
                <w:bCs/>
                <w:sz w:val="18"/>
                <w:szCs w:val="18"/>
              </w:rPr>
              <w:t>RECURSOS SOB A SUPERVISAO DA SEFIN - RS-SEFIN</w:t>
            </w:r>
          </w:p>
        </w:tc>
        <w:tc>
          <w:tcPr>
            <w:tcW w:w="1050" w:type="dxa"/>
            <w:vAlign w:val="center"/>
            <w:hideMark/>
          </w:tcPr>
          <w:p w:rsidR="00453C08" w:rsidRDefault="00453C08" w:rsidP="00BE1429">
            <w:pPr>
              <w:rPr>
                <w:sz w:val="18"/>
                <w:szCs w:val="18"/>
              </w:rPr>
            </w:pPr>
          </w:p>
        </w:tc>
        <w:tc>
          <w:tcPr>
            <w:tcW w:w="875" w:type="dxa"/>
            <w:vAlign w:val="center"/>
            <w:hideMark/>
          </w:tcPr>
          <w:p w:rsidR="00453C08" w:rsidRDefault="00453C08" w:rsidP="00BE1429">
            <w:pPr>
              <w:rPr>
                <w:sz w:val="18"/>
                <w:szCs w:val="18"/>
              </w:rPr>
            </w:pPr>
          </w:p>
        </w:tc>
        <w:tc>
          <w:tcPr>
            <w:tcW w:w="1691" w:type="dxa"/>
            <w:vAlign w:val="center"/>
            <w:hideMark/>
          </w:tcPr>
          <w:p w:rsidR="00453C08" w:rsidRDefault="00453C08" w:rsidP="00BE1429">
            <w:pPr>
              <w:jc w:val="right"/>
              <w:rPr>
                <w:sz w:val="18"/>
                <w:szCs w:val="18"/>
              </w:rPr>
            </w:pPr>
            <w:r>
              <w:rPr>
                <w:b/>
                <w:bCs/>
                <w:sz w:val="18"/>
                <w:szCs w:val="18"/>
              </w:rPr>
              <w:t>44.225.203,82</w:t>
            </w:r>
          </w:p>
        </w:tc>
      </w:tr>
      <w:tr w:rsidR="00453C08" w:rsidTr="00BE1429">
        <w:trPr>
          <w:tblCellSpacing w:w="0" w:type="dxa"/>
          <w:jc w:val="center"/>
        </w:trPr>
        <w:tc>
          <w:tcPr>
            <w:tcW w:w="2536" w:type="dxa"/>
            <w:vAlign w:val="center"/>
            <w:hideMark/>
          </w:tcPr>
          <w:p w:rsidR="00453C08" w:rsidRDefault="00453C08" w:rsidP="00BE1429">
            <w:pPr>
              <w:rPr>
                <w:sz w:val="18"/>
                <w:szCs w:val="18"/>
              </w:rPr>
            </w:pPr>
            <w:r>
              <w:rPr>
                <w:sz w:val="18"/>
                <w:szCs w:val="18"/>
              </w:rPr>
              <w:t>14.002.28.843.0000.0132</w:t>
            </w:r>
          </w:p>
        </w:tc>
        <w:tc>
          <w:tcPr>
            <w:tcW w:w="4198" w:type="dxa"/>
            <w:vAlign w:val="center"/>
            <w:hideMark/>
          </w:tcPr>
          <w:p w:rsidR="00453C08" w:rsidRDefault="00453C08" w:rsidP="00BE1429">
            <w:pPr>
              <w:rPr>
                <w:sz w:val="18"/>
                <w:szCs w:val="18"/>
              </w:rPr>
            </w:pPr>
            <w:r>
              <w:rPr>
                <w:sz w:val="18"/>
                <w:szCs w:val="18"/>
              </w:rPr>
              <w:t>ASSEGURAR OS RECURSOS PARA PAGAMENTO DE SENTENÇAS JUDICIAIS</w:t>
            </w:r>
          </w:p>
        </w:tc>
        <w:tc>
          <w:tcPr>
            <w:tcW w:w="1050" w:type="dxa"/>
            <w:vAlign w:val="center"/>
            <w:hideMark/>
          </w:tcPr>
          <w:p w:rsidR="00453C08" w:rsidRDefault="00453C08" w:rsidP="00BE1429">
            <w:pPr>
              <w:rPr>
                <w:sz w:val="18"/>
                <w:szCs w:val="18"/>
              </w:rPr>
            </w:pPr>
            <w:r>
              <w:rPr>
                <w:sz w:val="18"/>
                <w:szCs w:val="18"/>
              </w:rPr>
              <w:t>3390</w:t>
            </w:r>
          </w:p>
        </w:tc>
        <w:tc>
          <w:tcPr>
            <w:tcW w:w="875" w:type="dxa"/>
            <w:vAlign w:val="center"/>
            <w:hideMark/>
          </w:tcPr>
          <w:p w:rsidR="00453C08" w:rsidRDefault="00453C08" w:rsidP="00BE1429">
            <w:pPr>
              <w:rPr>
                <w:sz w:val="18"/>
                <w:szCs w:val="18"/>
              </w:rPr>
            </w:pPr>
            <w:r>
              <w:rPr>
                <w:sz w:val="18"/>
                <w:szCs w:val="18"/>
              </w:rPr>
              <w:t>0148</w:t>
            </w:r>
          </w:p>
        </w:tc>
        <w:tc>
          <w:tcPr>
            <w:tcW w:w="1691" w:type="dxa"/>
            <w:vAlign w:val="center"/>
            <w:hideMark/>
          </w:tcPr>
          <w:p w:rsidR="00453C08" w:rsidRDefault="00453C08" w:rsidP="00BE1429">
            <w:pPr>
              <w:jc w:val="right"/>
              <w:rPr>
                <w:sz w:val="18"/>
                <w:szCs w:val="18"/>
              </w:rPr>
            </w:pPr>
            <w:r>
              <w:rPr>
                <w:sz w:val="18"/>
                <w:szCs w:val="18"/>
              </w:rPr>
              <w:t>4.225.203,82</w:t>
            </w:r>
          </w:p>
        </w:tc>
      </w:tr>
      <w:tr w:rsidR="00453C08" w:rsidTr="00BE1429">
        <w:trPr>
          <w:tblCellSpacing w:w="0" w:type="dxa"/>
          <w:jc w:val="center"/>
        </w:trPr>
        <w:tc>
          <w:tcPr>
            <w:tcW w:w="2536" w:type="dxa"/>
            <w:vAlign w:val="center"/>
            <w:hideMark/>
          </w:tcPr>
          <w:p w:rsidR="00453C08" w:rsidRDefault="00453C08" w:rsidP="00BE1429">
            <w:pPr>
              <w:rPr>
                <w:sz w:val="18"/>
                <w:szCs w:val="18"/>
              </w:rPr>
            </w:pPr>
            <w:r>
              <w:rPr>
                <w:sz w:val="18"/>
                <w:szCs w:val="18"/>
              </w:rPr>
              <w:t>14.002.28.843.0000.0128</w:t>
            </w:r>
          </w:p>
        </w:tc>
        <w:tc>
          <w:tcPr>
            <w:tcW w:w="4198" w:type="dxa"/>
            <w:vAlign w:val="center"/>
            <w:hideMark/>
          </w:tcPr>
          <w:p w:rsidR="00453C08" w:rsidRDefault="00453C08" w:rsidP="00BE1429">
            <w:pPr>
              <w:rPr>
                <w:sz w:val="18"/>
                <w:szCs w:val="18"/>
              </w:rPr>
            </w:pPr>
            <w:r>
              <w:rPr>
                <w:sz w:val="18"/>
                <w:szCs w:val="18"/>
              </w:rPr>
              <w:t>ASSEGURAR OS RECURSOS PARA PAGAMENTO DA DÍVIDA FUNDADA</w:t>
            </w:r>
          </w:p>
        </w:tc>
        <w:tc>
          <w:tcPr>
            <w:tcW w:w="1050" w:type="dxa"/>
            <w:vAlign w:val="center"/>
            <w:hideMark/>
          </w:tcPr>
          <w:p w:rsidR="00453C08" w:rsidRDefault="00453C08" w:rsidP="00BE1429">
            <w:pPr>
              <w:rPr>
                <w:sz w:val="18"/>
                <w:szCs w:val="18"/>
              </w:rPr>
            </w:pPr>
            <w:r>
              <w:rPr>
                <w:sz w:val="18"/>
                <w:szCs w:val="18"/>
              </w:rPr>
              <w:t>4690</w:t>
            </w:r>
          </w:p>
        </w:tc>
        <w:tc>
          <w:tcPr>
            <w:tcW w:w="875" w:type="dxa"/>
            <w:vAlign w:val="center"/>
            <w:hideMark/>
          </w:tcPr>
          <w:p w:rsidR="00453C08" w:rsidRDefault="00453C08" w:rsidP="00BE1429">
            <w:pPr>
              <w:rPr>
                <w:sz w:val="18"/>
                <w:szCs w:val="18"/>
              </w:rPr>
            </w:pPr>
            <w:r>
              <w:rPr>
                <w:sz w:val="18"/>
                <w:szCs w:val="18"/>
              </w:rPr>
              <w:t>0148</w:t>
            </w:r>
          </w:p>
        </w:tc>
        <w:tc>
          <w:tcPr>
            <w:tcW w:w="1691" w:type="dxa"/>
            <w:vAlign w:val="center"/>
            <w:hideMark/>
          </w:tcPr>
          <w:p w:rsidR="00453C08" w:rsidRDefault="00453C08" w:rsidP="00BE1429">
            <w:pPr>
              <w:jc w:val="right"/>
              <w:rPr>
                <w:sz w:val="18"/>
                <w:szCs w:val="18"/>
              </w:rPr>
            </w:pPr>
            <w:r>
              <w:rPr>
                <w:sz w:val="18"/>
                <w:szCs w:val="18"/>
              </w:rPr>
              <w:t>40.000.000,00</w:t>
            </w:r>
          </w:p>
        </w:tc>
      </w:tr>
      <w:tr w:rsidR="00453C08" w:rsidTr="00BE1429">
        <w:trPr>
          <w:tblCellSpacing w:w="0" w:type="dxa"/>
          <w:jc w:val="center"/>
        </w:trPr>
        <w:tc>
          <w:tcPr>
            <w:tcW w:w="2536" w:type="dxa"/>
            <w:vAlign w:val="center"/>
            <w:hideMark/>
          </w:tcPr>
          <w:p w:rsidR="00453C08" w:rsidRDefault="00453C08" w:rsidP="00BE1429">
            <w:pPr>
              <w:rPr>
                <w:sz w:val="18"/>
                <w:szCs w:val="18"/>
              </w:rPr>
            </w:pPr>
          </w:p>
        </w:tc>
        <w:tc>
          <w:tcPr>
            <w:tcW w:w="4198" w:type="dxa"/>
            <w:vAlign w:val="center"/>
            <w:hideMark/>
          </w:tcPr>
          <w:p w:rsidR="00453C08" w:rsidRDefault="00453C08" w:rsidP="00BE1429">
            <w:pPr>
              <w:rPr>
                <w:sz w:val="18"/>
                <w:szCs w:val="18"/>
              </w:rPr>
            </w:pPr>
            <w:r>
              <w:rPr>
                <w:b/>
                <w:bCs/>
                <w:sz w:val="18"/>
                <w:szCs w:val="18"/>
              </w:rPr>
              <w:t>SECRETARIA DE ESTADO DA JUSTIÇA - SEJUS</w:t>
            </w:r>
          </w:p>
        </w:tc>
        <w:tc>
          <w:tcPr>
            <w:tcW w:w="1050" w:type="dxa"/>
            <w:vAlign w:val="center"/>
            <w:hideMark/>
          </w:tcPr>
          <w:p w:rsidR="00453C08" w:rsidRDefault="00453C08" w:rsidP="00BE1429">
            <w:pPr>
              <w:rPr>
                <w:sz w:val="18"/>
                <w:szCs w:val="18"/>
              </w:rPr>
            </w:pPr>
          </w:p>
        </w:tc>
        <w:tc>
          <w:tcPr>
            <w:tcW w:w="875" w:type="dxa"/>
            <w:vAlign w:val="center"/>
            <w:hideMark/>
          </w:tcPr>
          <w:p w:rsidR="00453C08" w:rsidRDefault="00453C08" w:rsidP="00BE1429">
            <w:pPr>
              <w:rPr>
                <w:sz w:val="18"/>
                <w:szCs w:val="18"/>
              </w:rPr>
            </w:pPr>
          </w:p>
        </w:tc>
        <w:tc>
          <w:tcPr>
            <w:tcW w:w="1691" w:type="dxa"/>
            <w:vAlign w:val="center"/>
            <w:hideMark/>
          </w:tcPr>
          <w:p w:rsidR="00453C08" w:rsidRDefault="00453C08" w:rsidP="00BE1429">
            <w:pPr>
              <w:jc w:val="right"/>
              <w:rPr>
                <w:sz w:val="18"/>
                <w:szCs w:val="18"/>
              </w:rPr>
            </w:pPr>
            <w:r>
              <w:rPr>
                <w:b/>
                <w:bCs/>
                <w:sz w:val="18"/>
                <w:szCs w:val="18"/>
              </w:rPr>
              <w:t>10.000.000,00</w:t>
            </w:r>
          </w:p>
        </w:tc>
      </w:tr>
      <w:tr w:rsidR="00453C08" w:rsidTr="00BE1429">
        <w:trPr>
          <w:tblCellSpacing w:w="0" w:type="dxa"/>
          <w:jc w:val="center"/>
        </w:trPr>
        <w:tc>
          <w:tcPr>
            <w:tcW w:w="2536" w:type="dxa"/>
            <w:vAlign w:val="center"/>
            <w:hideMark/>
          </w:tcPr>
          <w:p w:rsidR="00453C08" w:rsidRDefault="00453C08" w:rsidP="00BE1429">
            <w:pPr>
              <w:rPr>
                <w:sz w:val="18"/>
                <w:szCs w:val="18"/>
              </w:rPr>
            </w:pPr>
            <w:r>
              <w:rPr>
                <w:sz w:val="18"/>
                <w:szCs w:val="18"/>
              </w:rPr>
              <w:t>21.001.03.421.1242.2893</w:t>
            </w:r>
          </w:p>
        </w:tc>
        <w:tc>
          <w:tcPr>
            <w:tcW w:w="4198" w:type="dxa"/>
            <w:vAlign w:val="center"/>
            <w:hideMark/>
          </w:tcPr>
          <w:p w:rsidR="00453C08" w:rsidRDefault="00453C08" w:rsidP="00BE1429">
            <w:pPr>
              <w:rPr>
                <w:sz w:val="18"/>
                <w:szCs w:val="18"/>
              </w:rPr>
            </w:pPr>
            <w:r>
              <w:rPr>
                <w:sz w:val="18"/>
                <w:szCs w:val="18"/>
              </w:rPr>
              <w:t>FORNECER ALIMENTAÇÃO PARA POPULAÇÃO CARCERÁRIA</w:t>
            </w:r>
          </w:p>
        </w:tc>
        <w:tc>
          <w:tcPr>
            <w:tcW w:w="1050" w:type="dxa"/>
            <w:vAlign w:val="center"/>
            <w:hideMark/>
          </w:tcPr>
          <w:p w:rsidR="00453C08" w:rsidRDefault="00453C08" w:rsidP="00BE1429">
            <w:pPr>
              <w:rPr>
                <w:sz w:val="18"/>
                <w:szCs w:val="18"/>
              </w:rPr>
            </w:pPr>
            <w:r>
              <w:rPr>
                <w:sz w:val="18"/>
                <w:szCs w:val="18"/>
              </w:rPr>
              <w:t>3390</w:t>
            </w:r>
          </w:p>
        </w:tc>
        <w:tc>
          <w:tcPr>
            <w:tcW w:w="875" w:type="dxa"/>
            <w:vAlign w:val="center"/>
            <w:hideMark/>
          </w:tcPr>
          <w:p w:rsidR="00453C08" w:rsidRDefault="00453C08" w:rsidP="00BE1429">
            <w:pPr>
              <w:rPr>
                <w:sz w:val="18"/>
                <w:szCs w:val="18"/>
              </w:rPr>
            </w:pPr>
            <w:r>
              <w:rPr>
                <w:sz w:val="18"/>
                <w:szCs w:val="18"/>
              </w:rPr>
              <w:t>0148</w:t>
            </w:r>
          </w:p>
        </w:tc>
        <w:tc>
          <w:tcPr>
            <w:tcW w:w="1691" w:type="dxa"/>
            <w:vAlign w:val="center"/>
            <w:hideMark/>
          </w:tcPr>
          <w:p w:rsidR="00453C08" w:rsidRDefault="00453C08" w:rsidP="00BE1429">
            <w:pPr>
              <w:jc w:val="right"/>
              <w:rPr>
                <w:sz w:val="18"/>
                <w:szCs w:val="18"/>
              </w:rPr>
            </w:pPr>
            <w:r>
              <w:rPr>
                <w:sz w:val="18"/>
                <w:szCs w:val="18"/>
              </w:rPr>
              <w:t>5.000.000,00</w:t>
            </w:r>
          </w:p>
        </w:tc>
      </w:tr>
      <w:tr w:rsidR="00453C08" w:rsidTr="00BE1429">
        <w:trPr>
          <w:tblCellSpacing w:w="0" w:type="dxa"/>
          <w:jc w:val="center"/>
        </w:trPr>
        <w:tc>
          <w:tcPr>
            <w:tcW w:w="2536" w:type="dxa"/>
            <w:vAlign w:val="center"/>
            <w:hideMark/>
          </w:tcPr>
          <w:p w:rsidR="00453C08" w:rsidRDefault="00453C08" w:rsidP="00BE1429">
            <w:pPr>
              <w:rPr>
                <w:sz w:val="18"/>
                <w:szCs w:val="18"/>
              </w:rPr>
            </w:pPr>
            <w:r>
              <w:rPr>
                <w:sz w:val="18"/>
                <w:szCs w:val="18"/>
              </w:rPr>
              <w:t>21.001.03.421.1242.2953</w:t>
            </w:r>
          </w:p>
        </w:tc>
        <w:tc>
          <w:tcPr>
            <w:tcW w:w="4198" w:type="dxa"/>
            <w:vAlign w:val="center"/>
            <w:hideMark/>
          </w:tcPr>
          <w:p w:rsidR="00453C08" w:rsidRDefault="00453C08" w:rsidP="00BE1429">
            <w:pPr>
              <w:rPr>
                <w:sz w:val="18"/>
                <w:szCs w:val="18"/>
              </w:rPr>
            </w:pPr>
            <w:r>
              <w:rPr>
                <w:sz w:val="18"/>
                <w:szCs w:val="18"/>
              </w:rPr>
              <w:t>ASSEGURAR O FUNCIONAMENTO DAS UNIDADES PRISIONAIS</w:t>
            </w:r>
          </w:p>
        </w:tc>
        <w:tc>
          <w:tcPr>
            <w:tcW w:w="1050" w:type="dxa"/>
            <w:vAlign w:val="center"/>
            <w:hideMark/>
          </w:tcPr>
          <w:p w:rsidR="00453C08" w:rsidRDefault="00453C08" w:rsidP="00BE1429">
            <w:pPr>
              <w:rPr>
                <w:sz w:val="18"/>
                <w:szCs w:val="18"/>
              </w:rPr>
            </w:pPr>
            <w:r>
              <w:rPr>
                <w:sz w:val="18"/>
                <w:szCs w:val="18"/>
              </w:rPr>
              <w:t>3390</w:t>
            </w:r>
          </w:p>
        </w:tc>
        <w:tc>
          <w:tcPr>
            <w:tcW w:w="875" w:type="dxa"/>
            <w:vAlign w:val="center"/>
            <w:hideMark/>
          </w:tcPr>
          <w:p w:rsidR="00453C08" w:rsidRDefault="00453C08" w:rsidP="00BE1429">
            <w:pPr>
              <w:rPr>
                <w:sz w:val="18"/>
                <w:szCs w:val="18"/>
              </w:rPr>
            </w:pPr>
            <w:r>
              <w:rPr>
                <w:sz w:val="18"/>
                <w:szCs w:val="18"/>
              </w:rPr>
              <w:t>0148</w:t>
            </w:r>
          </w:p>
        </w:tc>
        <w:tc>
          <w:tcPr>
            <w:tcW w:w="1691" w:type="dxa"/>
            <w:vAlign w:val="center"/>
            <w:hideMark/>
          </w:tcPr>
          <w:p w:rsidR="00453C08" w:rsidRDefault="00453C08" w:rsidP="00BE1429">
            <w:pPr>
              <w:jc w:val="right"/>
              <w:rPr>
                <w:sz w:val="18"/>
                <w:szCs w:val="18"/>
              </w:rPr>
            </w:pPr>
            <w:r>
              <w:rPr>
                <w:sz w:val="18"/>
                <w:szCs w:val="18"/>
              </w:rPr>
              <w:t>5.000.000,00</w:t>
            </w:r>
          </w:p>
        </w:tc>
      </w:tr>
      <w:tr w:rsidR="00453C08" w:rsidTr="00BE1429">
        <w:trPr>
          <w:tblCellSpacing w:w="0" w:type="dxa"/>
          <w:jc w:val="center"/>
        </w:trPr>
        <w:tc>
          <w:tcPr>
            <w:tcW w:w="0" w:type="auto"/>
            <w:gridSpan w:val="4"/>
            <w:vAlign w:val="center"/>
            <w:hideMark/>
          </w:tcPr>
          <w:p w:rsidR="00453C08" w:rsidRDefault="00453C08" w:rsidP="00BE1429">
            <w:pPr>
              <w:jc w:val="right"/>
              <w:rPr>
                <w:b/>
                <w:bCs/>
                <w:sz w:val="18"/>
                <w:szCs w:val="18"/>
              </w:rPr>
            </w:pPr>
            <w:r>
              <w:rPr>
                <w:b/>
                <w:bCs/>
                <w:sz w:val="18"/>
                <w:szCs w:val="18"/>
              </w:rPr>
              <w:t>TOTAL</w:t>
            </w:r>
          </w:p>
        </w:tc>
        <w:tc>
          <w:tcPr>
            <w:tcW w:w="0" w:type="auto"/>
            <w:vAlign w:val="center"/>
            <w:hideMark/>
          </w:tcPr>
          <w:p w:rsidR="00453C08" w:rsidRDefault="00453C08" w:rsidP="00BE1429">
            <w:pPr>
              <w:jc w:val="right"/>
              <w:rPr>
                <w:sz w:val="18"/>
                <w:szCs w:val="18"/>
              </w:rPr>
            </w:pPr>
            <w:r>
              <w:rPr>
                <w:b/>
                <w:bCs/>
                <w:sz w:val="18"/>
                <w:szCs w:val="18"/>
              </w:rPr>
              <w:t>R$ 54.225.203,82</w:t>
            </w:r>
          </w:p>
        </w:tc>
      </w:tr>
    </w:tbl>
    <w:p w:rsidR="00453C08" w:rsidRDefault="00453C08" w:rsidP="00453C08">
      <w:pPr>
        <w:spacing w:after="240"/>
        <w:jc w:val="center"/>
        <w:rPr>
          <w:b/>
          <w:bCs/>
        </w:rPr>
      </w:pPr>
      <w:r>
        <w:br/>
      </w:r>
      <w:r>
        <w:br/>
      </w:r>
    </w:p>
    <w:p w:rsidR="00453C08" w:rsidRPr="002F16FC" w:rsidRDefault="00453C08" w:rsidP="00453C08">
      <w:pPr>
        <w:spacing w:after="240"/>
        <w:jc w:val="center"/>
      </w:pPr>
      <w:r w:rsidRPr="002F16FC">
        <w:rPr>
          <w:b/>
          <w:bCs/>
        </w:rPr>
        <w:t>ANEXO II</w:t>
      </w:r>
    </w:p>
    <w:p w:rsidR="00453C08" w:rsidRDefault="00453C08" w:rsidP="00453C08">
      <w:pPr>
        <w:jc w:val="both"/>
      </w:pPr>
    </w:p>
    <w:p w:rsidR="00453C08" w:rsidRPr="00BC3A81" w:rsidRDefault="00453C08" w:rsidP="00453C08">
      <w:pPr>
        <w:ind w:hanging="170"/>
        <w:jc w:val="center"/>
        <w:rPr>
          <w:sz w:val="18"/>
          <w:szCs w:val="18"/>
        </w:rPr>
      </w:pPr>
      <w:r w:rsidRPr="00BC3A81">
        <w:rPr>
          <w:b/>
          <w:bCs/>
          <w:sz w:val="18"/>
          <w:szCs w:val="18"/>
        </w:rPr>
        <w:t xml:space="preserve">RECEITAS                                                                                                                                                        </w:t>
      </w:r>
      <w:r>
        <w:rPr>
          <w:b/>
          <w:bCs/>
          <w:sz w:val="18"/>
          <w:szCs w:val="18"/>
        </w:rPr>
        <w:t xml:space="preserve">                        </w:t>
      </w:r>
      <w:r w:rsidRPr="00BC3A81">
        <w:rPr>
          <w:b/>
          <w:bCs/>
          <w:sz w:val="18"/>
          <w:szCs w:val="18"/>
        </w:rPr>
        <w:t>DESVINCULA</w:t>
      </w:r>
    </w:p>
    <w:tbl>
      <w:tblPr>
        <w:tblW w:w="10279"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549"/>
        <w:gridCol w:w="4217"/>
        <w:gridCol w:w="1054"/>
        <w:gridCol w:w="949"/>
        <w:gridCol w:w="1510"/>
      </w:tblGrid>
      <w:tr w:rsidR="00453C08" w:rsidRPr="00BC3A81" w:rsidTr="00BE1429">
        <w:trPr>
          <w:tblCellSpacing w:w="0" w:type="dxa"/>
          <w:jc w:val="center"/>
        </w:trPr>
        <w:tc>
          <w:tcPr>
            <w:tcW w:w="2549" w:type="dxa"/>
            <w:tcBorders>
              <w:top w:val="outset" w:sz="6" w:space="0" w:color="auto"/>
              <w:left w:val="outset" w:sz="6" w:space="0" w:color="auto"/>
              <w:bottom w:val="outset" w:sz="6" w:space="0" w:color="auto"/>
              <w:right w:val="outset" w:sz="6" w:space="0" w:color="auto"/>
            </w:tcBorders>
            <w:vAlign w:val="center"/>
            <w:hideMark/>
          </w:tcPr>
          <w:p w:rsidR="00453C08" w:rsidRPr="00BC3A81" w:rsidRDefault="00453C08" w:rsidP="00BE1429">
            <w:pPr>
              <w:jc w:val="center"/>
              <w:rPr>
                <w:b/>
                <w:bCs/>
                <w:sz w:val="18"/>
                <w:szCs w:val="18"/>
              </w:rPr>
            </w:pPr>
            <w:r w:rsidRPr="00BC3A81">
              <w:rPr>
                <w:b/>
                <w:bCs/>
                <w:sz w:val="18"/>
                <w:szCs w:val="18"/>
              </w:rPr>
              <w:t>Código</w:t>
            </w:r>
          </w:p>
        </w:tc>
        <w:tc>
          <w:tcPr>
            <w:tcW w:w="4217" w:type="dxa"/>
            <w:tcBorders>
              <w:top w:val="outset" w:sz="6" w:space="0" w:color="auto"/>
              <w:left w:val="outset" w:sz="6" w:space="0" w:color="auto"/>
              <w:bottom w:val="outset" w:sz="6" w:space="0" w:color="auto"/>
              <w:right w:val="outset" w:sz="6" w:space="0" w:color="auto"/>
            </w:tcBorders>
            <w:vAlign w:val="center"/>
            <w:hideMark/>
          </w:tcPr>
          <w:p w:rsidR="00453C08" w:rsidRPr="00BC3A81" w:rsidRDefault="00453C08" w:rsidP="00BE1429">
            <w:pPr>
              <w:jc w:val="center"/>
              <w:rPr>
                <w:b/>
                <w:bCs/>
                <w:sz w:val="18"/>
                <w:szCs w:val="18"/>
              </w:rPr>
            </w:pPr>
            <w:r w:rsidRPr="00BC3A81">
              <w:rPr>
                <w:b/>
                <w:bCs/>
                <w:sz w:val="18"/>
                <w:szCs w:val="18"/>
              </w:rPr>
              <w:t>Especificação</w:t>
            </w:r>
          </w:p>
        </w:tc>
        <w:tc>
          <w:tcPr>
            <w:tcW w:w="1054" w:type="dxa"/>
            <w:tcBorders>
              <w:top w:val="outset" w:sz="6" w:space="0" w:color="auto"/>
              <w:left w:val="outset" w:sz="6" w:space="0" w:color="auto"/>
              <w:bottom w:val="outset" w:sz="6" w:space="0" w:color="auto"/>
              <w:right w:val="outset" w:sz="6" w:space="0" w:color="auto"/>
            </w:tcBorders>
            <w:vAlign w:val="center"/>
            <w:hideMark/>
          </w:tcPr>
          <w:p w:rsidR="00453C08" w:rsidRPr="00BC3A81" w:rsidRDefault="00453C08" w:rsidP="00BE1429">
            <w:pPr>
              <w:jc w:val="center"/>
              <w:rPr>
                <w:b/>
                <w:bCs/>
                <w:sz w:val="18"/>
                <w:szCs w:val="18"/>
              </w:rPr>
            </w:pPr>
            <w:r w:rsidRPr="00BC3A81">
              <w:rPr>
                <w:b/>
                <w:bCs/>
                <w:sz w:val="18"/>
                <w:szCs w:val="18"/>
              </w:rPr>
              <w:t>Tipo</w:t>
            </w:r>
          </w:p>
        </w:tc>
        <w:tc>
          <w:tcPr>
            <w:tcW w:w="949" w:type="dxa"/>
            <w:tcBorders>
              <w:top w:val="outset" w:sz="6" w:space="0" w:color="auto"/>
              <w:left w:val="outset" w:sz="6" w:space="0" w:color="auto"/>
              <w:bottom w:val="outset" w:sz="6" w:space="0" w:color="auto"/>
              <w:right w:val="outset" w:sz="6" w:space="0" w:color="auto"/>
            </w:tcBorders>
            <w:vAlign w:val="center"/>
            <w:hideMark/>
          </w:tcPr>
          <w:p w:rsidR="00453C08" w:rsidRPr="00BC3A81" w:rsidRDefault="00453C08" w:rsidP="00BE1429">
            <w:pPr>
              <w:jc w:val="center"/>
              <w:rPr>
                <w:b/>
                <w:bCs/>
                <w:sz w:val="18"/>
                <w:szCs w:val="18"/>
              </w:rPr>
            </w:pPr>
            <w:r w:rsidRPr="00BC3A81">
              <w:rPr>
                <w:b/>
                <w:bCs/>
                <w:sz w:val="18"/>
                <w:szCs w:val="18"/>
              </w:rPr>
              <w:t>Fonte de Recurso</w:t>
            </w:r>
          </w:p>
        </w:tc>
        <w:tc>
          <w:tcPr>
            <w:tcW w:w="1510" w:type="dxa"/>
            <w:tcBorders>
              <w:top w:val="outset" w:sz="6" w:space="0" w:color="auto"/>
              <w:left w:val="outset" w:sz="6" w:space="0" w:color="auto"/>
              <w:bottom w:val="outset" w:sz="6" w:space="0" w:color="auto"/>
              <w:right w:val="outset" w:sz="6" w:space="0" w:color="auto"/>
            </w:tcBorders>
            <w:vAlign w:val="center"/>
            <w:hideMark/>
          </w:tcPr>
          <w:p w:rsidR="00453C08" w:rsidRPr="00BC3A81" w:rsidRDefault="00453C08" w:rsidP="00BE1429">
            <w:pPr>
              <w:jc w:val="center"/>
              <w:rPr>
                <w:b/>
                <w:bCs/>
                <w:sz w:val="18"/>
                <w:szCs w:val="18"/>
              </w:rPr>
            </w:pPr>
            <w:r w:rsidRPr="00BC3A81">
              <w:rPr>
                <w:b/>
                <w:bCs/>
                <w:sz w:val="18"/>
                <w:szCs w:val="18"/>
              </w:rPr>
              <w:t>Valor</w:t>
            </w:r>
          </w:p>
        </w:tc>
      </w:tr>
    </w:tbl>
    <w:p w:rsidR="00453C08" w:rsidRPr="00BC3A81" w:rsidRDefault="00453C08" w:rsidP="00453C08">
      <w:pPr>
        <w:jc w:val="both"/>
        <w:rPr>
          <w:vanish/>
          <w:sz w:val="18"/>
          <w:szCs w:val="18"/>
        </w:rPr>
      </w:pPr>
    </w:p>
    <w:tbl>
      <w:tblPr>
        <w:tblW w:w="10350" w:type="dxa"/>
        <w:jc w:val="center"/>
        <w:tblCellSpacing w:w="0" w:type="dxa"/>
        <w:tblCellMar>
          <w:top w:w="75" w:type="dxa"/>
          <w:left w:w="75" w:type="dxa"/>
          <w:bottom w:w="75" w:type="dxa"/>
          <w:right w:w="75" w:type="dxa"/>
        </w:tblCellMar>
        <w:tblLook w:val="04A0" w:firstRow="1" w:lastRow="0" w:firstColumn="1" w:lastColumn="0" w:noHBand="0" w:noVBand="1"/>
      </w:tblPr>
      <w:tblGrid>
        <w:gridCol w:w="2536"/>
        <w:gridCol w:w="4198"/>
        <w:gridCol w:w="1050"/>
        <w:gridCol w:w="875"/>
        <w:gridCol w:w="1691"/>
      </w:tblGrid>
      <w:tr w:rsidR="00453C08" w:rsidRPr="00BC3A81" w:rsidTr="00BE1429">
        <w:trPr>
          <w:tblCellSpacing w:w="0" w:type="dxa"/>
          <w:jc w:val="center"/>
        </w:trPr>
        <w:tc>
          <w:tcPr>
            <w:tcW w:w="2536" w:type="dxa"/>
            <w:vAlign w:val="center"/>
            <w:hideMark/>
          </w:tcPr>
          <w:p w:rsidR="00453C08" w:rsidRPr="00BC3A81" w:rsidRDefault="00453C08" w:rsidP="00BE1429">
            <w:pPr>
              <w:jc w:val="center"/>
              <w:rPr>
                <w:sz w:val="18"/>
                <w:szCs w:val="18"/>
              </w:rPr>
            </w:pPr>
          </w:p>
        </w:tc>
        <w:tc>
          <w:tcPr>
            <w:tcW w:w="4198" w:type="dxa"/>
            <w:vAlign w:val="center"/>
            <w:hideMark/>
          </w:tcPr>
          <w:p w:rsidR="00453C08" w:rsidRPr="00BC3A81" w:rsidRDefault="00453C08" w:rsidP="00BE1429">
            <w:pPr>
              <w:jc w:val="center"/>
              <w:rPr>
                <w:sz w:val="18"/>
                <w:szCs w:val="18"/>
              </w:rPr>
            </w:pPr>
            <w:r w:rsidRPr="00BC3A81">
              <w:rPr>
                <w:sz w:val="18"/>
                <w:szCs w:val="18"/>
              </w:rPr>
              <w:t>RECURSO DESVINCULADO</w:t>
            </w:r>
          </w:p>
        </w:tc>
        <w:tc>
          <w:tcPr>
            <w:tcW w:w="1050" w:type="dxa"/>
            <w:vAlign w:val="center"/>
            <w:hideMark/>
          </w:tcPr>
          <w:p w:rsidR="00453C08" w:rsidRPr="00BC3A81" w:rsidRDefault="00453C08" w:rsidP="00BE1429">
            <w:pPr>
              <w:jc w:val="center"/>
              <w:rPr>
                <w:sz w:val="18"/>
                <w:szCs w:val="18"/>
              </w:rPr>
            </w:pPr>
            <w:r w:rsidRPr="00BC3A81">
              <w:rPr>
                <w:sz w:val="18"/>
                <w:szCs w:val="18"/>
              </w:rPr>
              <w:t>A</w:t>
            </w:r>
          </w:p>
        </w:tc>
        <w:tc>
          <w:tcPr>
            <w:tcW w:w="875" w:type="dxa"/>
            <w:vAlign w:val="center"/>
            <w:hideMark/>
          </w:tcPr>
          <w:p w:rsidR="00453C08" w:rsidRPr="00BC3A81" w:rsidRDefault="00453C08" w:rsidP="00BE1429">
            <w:pPr>
              <w:jc w:val="center"/>
              <w:rPr>
                <w:sz w:val="18"/>
                <w:szCs w:val="18"/>
              </w:rPr>
            </w:pPr>
            <w:r w:rsidRPr="00BC3A81">
              <w:rPr>
                <w:sz w:val="18"/>
                <w:szCs w:val="18"/>
              </w:rPr>
              <w:t>0148</w:t>
            </w:r>
          </w:p>
        </w:tc>
        <w:tc>
          <w:tcPr>
            <w:tcW w:w="1691" w:type="dxa"/>
            <w:vAlign w:val="center"/>
            <w:hideMark/>
          </w:tcPr>
          <w:p w:rsidR="00453C08" w:rsidRPr="00BC3A81" w:rsidRDefault="00453C08" w:rsidP="00BE1429">
            <w:pPr>
              <w:jc w:val="right"/>
              <w:rPr>
                <w:sz w:val="18"/>
                <w:szCs w:val="18"/>
              </w:rPr>
            </w:pPr>
            <w:r w:rsidRPr="00BC3A81">
              <w:rPr>
                <w:sz w:val="18"/>
                <w:szCs w:val="18"/>
              </w:rPr>
              <w:t>54.225.203,82</w:t>
            </w:r>
          </w:p>
        </w:tc>
      </w:tr>
      <w:tr w:rsidR="00453C08" w:rsidRPr="00BC3A81" w:rsidTr="00BE1429">
        <w:trPr>
          <w:tblCellSpacing w:w="0" w:type="dxa"/>
          <w:jc w:val="center"/>
        </w:trPr>
        <w:tc>
          <w:tcPr>
            <w:tcW w:w="0" w:type="auto"/>
            <w:gridSpan w:val="4"/>
            <w:vAlign w:val="center"/>
            <w:hideMark/>
          </w:tcPr>
          <w:p w:rsidR="00453C08" w:rsidRPr="00BC3A81" w:rsidRDefault="00453C08" w:rsidP="00BE1429">
            <w:pPr>
              <w:jc w:val="right"/>
              <w:rPr>
                <w:b/>
                <w:bCs/>
                <w:sz w:val="18"/>
                <w:szCs w:val="18"/>
              </w:rPr>
            </w:pPr>
            <w:r w:rsidRPr="00BC3A81">
              <w:rPr>
                <w:b/>
                <w:bCs/>
                <w:sz w:val="18"/>
                <w:szCs w:val="18"/>
              </w:rPr>
              <w:t>TOTAL</w:t>
            </w:r>
          </w:p>
        </w:tc>
        <w:tc>
          <w:tcPr>
            <w:tcW w:w="0" w:type="auto"/>
            <w:vAlign w:val="center"/>
            <w:hideMark/>
          </w:tcPr>
          <w:p w:rsidR="00453C08" w:rsidRPr="00BC3A81" w:rsidRDefault="00453C08" w:rsidP="00BE1429">
            <w:pPr>
              <w:jc w:val="right"/>
              <w:rPr>
                <w:sz w:val="18"/>
                <w:szCs w:val="18"/>
              </w:rPr>
            </w:pPr>
            <w:r w:rsidRPr="00BC3A81">
              <w:rPr>
                <w:b/>
                <w:bCs/>
                <w:sz w:val="18"/>
                <w:szCs w:val="18"/>
              </w:rPr>
              <w:t>R$ 54.225.203,82</w:t>
            </w:r>
          </w:p>
        </w:tc>
      </w:tr>
    </w:tbl>
    <w:p w:rsidR="00453C08" w:rsidRPr="00BC3A81" w:rsidRDefault="00453C08" w:rsidP="00453C08">
      <w:pPr>
        <w:rPr>
          <w:sz w:val="18"/>
          <w:szCs w:val="18"/>
        </w:rPr>
      </w:pPr>
    </w:p>
    <w:p w:rsidR="00453C08" w:rsidRDefault="00453C08" w:rsidP="00453C08">
      <w:pPr>
        <w:pStyle w:val="Corpodetexto"/>
        <w:spacing w:line="240" w:lineRule="auto"/>
        <w:jc w:val="center"/>
        <w:rPr>
          <w:rFonts w:ascii="Times New Roman" w:hAnsi="Times New Roman"/>
          <w:b/>
          <w:sz w:val="26"/>
          <w:szCs w:val="26"/>
        </w:rPr>
      </w:pPr>
    </w:p>
    <w:p w:rsidR="00453C08" w:rsidRDefault="00453C08" w:rsidP="00453C08"/>
    <w:p w:rsidR="00453C08" w:rsidRDefault="00453C08" w:rsidP="00453C08"/>
    <w:p w:rsidR="00453C08" w:rsidRDefault="00453C08" w:rsidP="00453C08"/>
    <w:p w:rsidR="00453C08" w:rsidRDefault="00453C08" w:rsidP="00453C08"/>
    <w:p w:rsidR="00453C08" w:rsidRDefault="00453C08" w:rsidP="00453C08"/>
    <w:p w:rsidR="00453C08" w:rsidRDefault="00453C08" w:rsidP="00453C08"/>
    <w:p w:rsidR="00453C08" w:rsidRDefault="00453C08" w:rsidP="00453C08"/>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p w:rsidR="00453C08" w:rsidRDefault="00453C08" w:rsidP="00453C08">
      <w:pPr>
        <w:rPr>
          <w:sz w:val="22"/>
        </w:rPr>
      </w:pPr>
    </w:p>
    <w:sectPr w:rsidR="00453C08" w:rsidSect="005D2574">
      <w:headerReference w:type="default" r:id="rId7"/>
      <w:footerReference w:type="default" r:id="rId8"/>
      <w:pgSz w:w="11906" w:h="16838"/>
      <w:pgMar w:top="1134" w:right="567" w:bottom="567" w:left="1134" w:header="284"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0E8" w:rsidRDefault="005C6F97">
      <w:r>
        <w:separator/>
      </w:r>
    </w:p>
  </w:endnote>
  <w:endnote w:type="continuationSeparator" w:id="0">
    <w:p w:rsidR="002C20E8" w:rsidRDefault="005C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87712"/>
      <w:docPartObj>
        <w:docPartGallery w:val="Page Numbers (Bottom of Page)"/>
        <w:docPartUnique/>
      </w:docPartObj>
    </w:sdtPr>
    <w:sdtEndPr>
      <w:rPr>
        <w:sz w:val="20"/>
      </w:rPr>
    </w:sdtEndPr>
    <w:sdtContent>
      <w:p w:rsidR="005D2574" w:rsidRPr="005D2574" w:rsidRDefault="005D2574">
        <w:pPr>
          <w:pStyle w:val="Rodap"/>
          <w:jc w:val="right"/>
          <w:rPr>
            <w:sz w:val="20"/>
          </w:rPr>
        </w:pPr>
        <w:r w:rsidRPr="005D2574">
          <w:rPr>
            <w:sz w:val="20"/>
          </w:rPr>
          <w:fldChar w:fldCharType="begin"/>
        </w:r>
        <w:r w:rsidRPr="005D2574">
          <w:rPr>
            <w:sz w:val="20"/>
          </w:rPr>
          <w:instrText>PAGE   \* MERGEFORMAT</w:instrText>
        </w:r>
        <w:r w:rsidRPr="005D2574">
          <w:rPr>
            <w:sz w:val="20"/>
          </w:rPr>
          <w:fldChar w:fldCharType="separate"/>
        </w:r>
        <w:r w:rsidR="00B167C5">
          <w:rPr>
            <w:noProof/>
            <w:sz w:val="20"/>
          </w:rPr>
          <w:t>1</w:t>
        </w:r>
        <w:r w:rsidRPr="005D2574">
          <w:rPr>
            <w:sz w:val="20"/>
          </w:rPr>
          <w:fldChar w:fldCharType="end"/>
        </w:r>
      </w:p>
    </w:sdtContent>
  </w:sdt>
  <w:p w:rsidR="005D2574" w:rsidRDefault="005D25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0E8" w:rsidRDefault="005C6F97">
      <w:r>
        <w:separator/>
      </w:r>
    </w:p>
  </w:footnote>
  <w:footnote w:type="continuationSeparator" w:id="0">
    <w:p w:rsidR="002C20E8" w:rsidRDefault="005C6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F2" w:rsidRDefault="00453C08" w:rsidP="00FC73F2">
    <w:pPr>
      <w:pStyle w:val="Cabealho"/>
      <w:ind w:right="360"/>
      <w:jc w:val="center"/>
      <w:rPr>
        <w:b/>
        <w:sz w:val="26"/>
      </w:rPr>
    </w:pPr>
    <w:r>
      <w:object w:dxaOrig="1090" w:dyaOrig="1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4.5pt" o:ole="" filled="t">
          <v:fill color2="black"/>
          <v:imagedata r:id="rId1" o:title=""/>
        </v:shape>
        <o:OLEObject Type="Embed" ProgID="Word.Picture.8" ShapeID="_x0000_i1025" DrawAspect="Content" ObjectID="_1599552816" r:id="rId2"/>
      </w:object>
    </w:r>
  </w:p>
  <w:p w:rsidR="00FC73F2" w:rsidRPr="004B5FB8" w:rsidRDefault="00453C08" w:rsidP="00FC73F2">
    <w:pPr>
      <w:pStyle w:val="Cabealho"/>
      <w:jc w:val="center"/>
      <w:rPr>
        <w:b/>
      </w:rPr>
    </w:pPr>
    <w:r w:rsidRPr="004B5FB8">
      <w:rPr>
        <w:b/>
      </w:rPr>
      <w:t>GOVERNO DO ESTADO DE RONDÔNIA</w:t>
    </w:r>
  </w:p>
  <w:p w:rsidR="00FC73F2" w:rsidRDefault="00453C08" w:rsidP="00FC73F2">
    <w:pPr>
      <w:pStyle w:val="Cabealho"/>
      <w:jc w:val="center"/>
      <w:rPr>
        <w:b/>
      </w:rPr>
    </w:pPr>
    <w:r w:rsidRPr="004B5FB8">
      <w:rPr>
        <w:b/>
      </w:rPr>
      <w:t>GOVERNADORIA</w:t>
    </w:r>
  </w:p>
  <w:p w:rsidR="00FC73F2" w:rsidRDefault="00B167C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C08"/>
    <w:rsid w:val="002C20E8"/>
    <w:rsid w:val="00453C08"/>
    <w:rsid w:val="005C6F97"/>
    <w:rsid w:val="005D2574"/>
    <w:rsid w:val="008908A8"/>
    <w:rsid w:val="00B167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453C08"/>
    <w:pPr>
      <w:spacing w:line="360" w:lineRule="auto"/>
      <w:jc w:val="both"/>
    </w:pPr>
    <w:rPr>
      <w:rFonts w:ascii="CG Times" w:hAnsi="CG Times"/>
      <w:sz w:val="28"/>
      <w:szCs w:val="20"/>
    </w:rPr>
  </w:style>
  <w:style w:type="character" w:customStyle="1" w:styleId="CorpodetextoChar">
    <w:name w:val="Corpo de texto Char"/>
    <w:basedOn w:val="Fontepargpadro"/>
    <w:link w:val="Corpodetexto"/>
    <w:semiHidden/>
    <w:rsid w:val="00453C08"/>
    <w:rPr>
      <w:rFonts w:ascii="CG Times" w:eastAsia="Times New Roman" w:hAnsi="CG Times" w:cs="Times New Roman"/>
      <w:sz w:val="28"/>
      <w:szCs w:val="20"/>
      <w:lang w:eastAsia="pt-BR"/>
    </w:rPr>
  </w:style>
  <w:style w:type="paragraph" w:styleId="Cabealho">
    <w:name w:val="header"/>
    <w:basedOn w:val="Normal"/>
    <w:link w:val="CabealhoChar"/>
    <w:uiPriority w:val="99"/>
    <w:unhideWhenUsed/>
    <w:rsid w:val="00453C08"/>
    <w:pPr>
      <w:tabs>
        <w:tab w:val="center" w:pos="4252"/>
        <w:tab w:val="right" w:pos="8504"/>
      </w:tabs>
    </w:pPr>
  </w:style>
  <w:style w:type="character" w:customStyle="1" w:styleId="CabealhoChar">
    <w:name w:val="Cabeçalho Char"/>
    <w:basedOn w:val="Fontepargpadro"/>
    <w:link w:val="Cabealho"/>
    <w:uiPriority w:val="99"/>
    <w:rsid w:val="00453C08"/>
    <w:rPr>
      <w:rFonts w:ascii="Times New Roman" w:eastAsia="Times New Roman" w:hAnsi="Times New Roman" w:cs="Times New Roman"/>
      <w:sz w:val="24"/>
      <w:szCs w:val="24"/>
      <w:lang w:eastAsia="pt-BR"/>
    </w:rPr>
  </w:style>
  <w:style w:type="paragraph" w:customStyle="1" w:styleId="xl27">
    <w:name w:val="xl27"/>
    <w:basedOn w:val="Normal"/>
    <w:rsid w:val="00453C08"/>
    <w:pPr>
      <w:spacing w:before="100" w:beforeAutospacing="1" w:after="100" w:afterAutospacing="1"/>
      <w:jc w:val="both"/>
      <w:textAlignment w:val="center"/>
    </w:pPr>
    <w:rPr>
      <w:rFonts w:ascii="Arial Unicode MS" w:eastAsia="Arial Unicode MS" w:hAnsi="Arial Unicode MS" w:cs="Arial Unicode MS"/>
    </w:rPr>
  </w:style>
  <w:style w:type="paragraph" w:styleId="SemEspaamento">
    <w:name w:val="No Spacing"/>
    <w:uiPriority w:val="1"/>
    <w:qFormat/>
    <w:rsid w:val="00453C08"/>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5C6F97"/>
    <w:rPr>
      <w:rFonts w:ascii="Segoe UI" w:hAnsi="Segoe UI" w:cs="Segoe UI"/>
      <w:sz w:val="18"/>
      <w:szCs w:val="18"/>
    </w:rPr>
  </w:style>
  <w:style w:type="character" w:customStyle="1" w:styleId="TextodebaloChar">
    <w:name w:val="Texto de balão Char"/>
    <w:basedOn w:val="Fontepargpadro"/>
    <w:link w:val="Textodebalo"/>
    <w:uiPriority w:val="99"/>
    <w:semiHidden/>
    <w:rsid w:val="005C6F97"/>
    <w:rPr>
      <w:rFonts w:ascii="Segoe UI" w:eastAsia="Times New Roman" w:hAnsi="Segoe UI" w:cs="Segoe UI"/>
      <w:sz w:val="18"/>
      <w:szCs w:val="18"/>
      <w:lang w:eastAsia="pt-BR"/>
    </w:rPr>
  </w:style>
  <w:style w:type="paragraph" w:styleId="Rodap">
    <w:name w:val="footer"/>
    <w:basedOn w:val="Normal"/>
    <w:link w:val="RodapChar"/>
    <w:uiPriority w:val="99"/>
    <w:unhideWhenUsed/>
    <w:rsid w:val="005D2574"/>
    <w:pPr>
      <w:tabs>
        <w:tab w:val="center" w:pos="4252"/>
        <w:tab w:val="right" w:pos="8504"/>
      </w:tabs>
    </w:pPr>
  </w:style>
  <w:style w:type="character" w:customStyle="1" w:styleId="RodapChar">
    <w:name w:val="Rodapé Char"/>
    <w:basedOn w:val="Fontepargpadro"/>
    <w:link w:val="Rodap"/>
    <w:uiPriority w:val="99"/>
    <w:rsid w:val="005D257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C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453C08"/>
    <w:pPr>
      <w:spacing w:line="360" w:lineRule="auto"/>
      <w:jc w:val="both"/>
    </w:pPr>
    <w:rPr>
      <w:rFonts w:ascii="CG Times" w:hAnsi="CG Times"/>
      <w:sz w:val="28"/>
      <w:szCs w:val="20"/>
    </w:rPr>
  </w:style>
  <w:style w:type="character" w:customStyle="1" w:styleId="CorpodetextoChar">
    <w:name w:val="Corpo de texto Char"/>
    <w:basedOn w:val="Fontepargpadro"/>
    <w:link w:val="Corpodetexto"/>
    <w:semiHidden/>
    <w:rsid w:val="00453C08"/>
    <w:rPr>
      <w:rFonts w:ascii="CG Times" w:eastAsia="Times New Roman" w:hAnsi="CG Times" w:cs="Times New Roman"/>
      <w:sz w:val="28"/>
      <w:szCs w:val="20"/>
      <w:lang w:eastAsia="pt-BR"/>
    </w:rPr>
  </w:style>
  <w:style w:type="paragraph" w:styleId="Cabealho">
    <w:name w:val="header"/>
    <w:basedOn w:val="Normal"/>
    <w:link w:val="CabealhoChar"/>
    <w:uiPriority w:val="99"/>
    <w:unhideWhenUsed/>
    <w:rsid w:val="00453C08"/>
    <w:pPr>
      <w:tabs>
        <w:tab w:val="center" w:pos="4252"/>
        <w:tab w:val="right" w:pos="8504"/>
      </w:tabs>
    </w:pPr>
  </w:style>
  <w:style w:type="character" w:customStyle="1" w:styleId="CabealhoChar">
    <w:name w:val="Cabeçalho Char"/>
    <w:basedOn w:val="Fontepargpadro"/>
    <w:link w:val="Cabealho"/>
    <w:uiPriority w:val="99"/>
    <w:rsid w:val="00453C08"/>
    <w:rPr>
      <w:rFonts w:ascii="Times New Roman" w:eastAsia="Times New Roman" w:hAnsi="Times New Roman" w:cs="Times New Roman"/>
      <w:sz w:val="24"/>
      <w:szCs w:val="24"/>
      <w:lang w:eastAsia="pt-BR"/>
    </w:rPr>
  </w:style>
  <w:style w:type="paragraph" w:customStyle="1" w:styleId="xl27">
    <w:name w:val="xl27"/>
    <w:basedOn w:val="Normal"/>
    <w:rsid w:val="00453C08"/>
    <w:pPr>
      <w:spacing w:before="100" w:beforeAutospacing="1" w:after="100" w:afterAutospacing="1"/>
      <w:jc w:val="both"/>
      <w:textAlignment w:val="center"/>
    </w:pPr>
    <w:rPr>
      <w:rFonts w:ascii="Arial Unicode MS" w:eastAsia="Arial Unicode MS" w:hAnsi="Arial Unicode MS" w:cs="Arial Unicode MS"/>
    </w:rPr>
  </w:style>
  <w:style w:type="paragraph" w:styleId="SemEspaamento">
    <w:name w:val="No Spacing"/>
    <w:uiPriority w:val="1"/>
    <w:qFormat/>
    <w:rsid w:val="00453C08"/>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5C6F97"/>
    <w:rPr>
      <w:rFonts w:ascii="Segoe UI" w:hAnsi="Segoe UI" w:cs="Segoe UI"/>
      <w:sz w:val="18"/>
      <w:szCs w:val="18"/>
    </w:rPr>
  </w:style>
  <w:style w:type="character" w:customStyle="1" w:styleId="TextodebaloChar">
    <w:name w:val="Texto de balão Char"/>
    <w:basedOn w:val="Fontepargpadro"/>
    <w:link w:val="Textodebalo"/>
    <w:uiPriority w:val="99"/>
    <w:semiHidden/>
    <w:rsid w:val="005C6F97"/>
    <w:rPr>
      <w:rFonts w:ascii="Segoe UI" w:eastAsia="Times New Roman" w:hAnsi="Segoe UI" w:cs="Segoe UI"/>
      <w:sz w:val="18"/>
      <w:szCs w:val="18"/>
      <w:lang w:eastAsia="pt-BR"/>
    </w:rPr>
  </w:style>
  <w:style w:type="paragraph" w:styleId="Rodap">
    <w:name w:val="footer"/>
    <w:basedOn w:val="Normal"/>
    <w:link w:val="RodapChar"/>
    <w:uiPriority w:val="99"/>
    <w:unhideWhenUsed/>
    <w:rsid w:val="005D2574"/>
    <w:pPr>
      <w:tabs>
        <w:tab w:val="center" w:pos="4252"/>
        <w:tab w:val="right" w:pos="8504"/>
      </w:tabs>
    </w:pPr>
  </w:style>
  <w:style w:type="character" w:customStyle="1" w:styleId="RodapChar">
    <w:name w:val="Rodapé Char"/>
    <w:basedOn w:val="Fontepargpadro"/>
    <w:link w:val="Rodap"/>
    <w:uiPriority w:val="99"/>
    <w:rsid w:val="005D257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413</Words>
  <Characters>2232</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ELENRRIZIA SCHNEIDER DA SILVA</dc:creator>
  <cp:keywords/>
  <dc:description/>
  <cp:lastModifiedBy>RAISA NASCIMENTO NUNES</cp:lastModifiedBy>
  <cp:revision>4</cp:revision>
  <cp:lastPrinted>2018-09-27T14:33:00Z</cp:lastPrinted>
  <dcterms:created xsi:type="dcterms:W3CDTF">2018-09-27T14:27:00Z</dcterms:created>
  <dcterms:modified xsi:type="dcterms:W3CDTF">2018-09-27T15:27:00Z</dcterms:modified>
</cp:coreProperties>
</file>