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0E" w:rsidRPr="005C4317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>LEI N.</w:t>
      </w:r>
      <w:r w:rsidR="00CB3DAC">
        <w:rPr>
          <w:rFonts w:ascii="Times New Roman" w:hAnsi="Times New Roman"/>
          <w:sz w:val="24"/>
        </w:rPr>
        <w:t xml:space="preserve"> 4.136</w:t>
      </w:r>
      <w:r w:rsidRPr="005C4317">
        <w:rPr>
          <w:rFonts w:ascii="Times New Roman" w:hAnsi="Times New Roman"/>
          <w:sz w:val="24"/>
        </w:rPr>
        <w:t>, DE</w:t>
      </w:r>
      <w:r w:rsidR="00CB3DAC">
        <w:rPr>
          <w:rFonts w:ascii="Times New Roman" w:hAnsi="Times New Roman"/>
          <w:sz w:val="24"/>
        </w:rPr>
        <w:t xml:space="preserve"> 21 </w:t>
      </w:r>
      <w:r w:rsidRPr="005C4317">
        <w:rPr>
          <w:rFonts w:ascii="Times New Roman" w:hAnsi="Times New Roman"/>
          <w:sz w:val="24"/>
        </w:rPr>
        <w:t xml:space="preserve">DE </w:t>
      </w:r>
      <w:r w:rsidR="00DF4A15">
        <w:rPr>
          <w:rFonts w:ascii="Times New Roman" w:hAnsi="Times New Roman"/>
          <w:sz w:val="24"/>
        </w:rPr>
        <w:t>SETEMBRO</w:t>
      </w:r>
      <w:r w:rsidRPr="005C4317">
        <w:rPr>
          <w:rFonts w:ascii="Times New Roman" w:hAnsi="Times New Roman"/>
          <w:sz w:val="24"/>
        </w:rPr>
        <w:t xml:space="preserve"> DE 2017.</w:t>
      </w:r>
    </w:p>
    <w:p w:rsidR="00065F01" w:rsidRPr="00524A96" w:rsidRDefault="00065F01" w:rsidP="00DB7B29">
      <w:pPr>
        <w:shd w:val="clear" w:color="auto" w:fill="FFFFFF"/>
        <w:ind w:left="5103"/>
        <w:jc w:val="both"/>
        <w:rPr>
          <w:sz w:val="22"/>
        </w:rPr>
      </w:pPr>
    </w:p>
    <w:p w:rsidR="00970B0E" w:rsidRDefault="00C81460" w:rsidP="00065F0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C81460">
        <w:rPr>
          <w:rFonts w:ascii="Times New Roman" w:hAnsi="Times New Roman"/>
          <w:sz w:val="24"/>
          <w:szCs w:val="24"/>
        </w:rPr>
        <w:t xml:space="preserve">Autoriza o Poder Executivo a abrir crédito adicional suplementar por anulação, até o montante de R$ 50.915.824,81, em favor das Unidades Orçamentárias: Superintendência de Gestão dos Gastos Públicos Administrativos - SUGESP, Fundo Especial de Modernização da Procuradoria-Geral do Estado de Rondônia - FUMORPGE, Superintendência Estadual de Gestão de Pessoas - </w:t>
      </w:r>
      <w:bookmarkStart w:id="0" w:name="_GoBack"/>
      <w:bookmarkEnd w:id="0"/>
      <w:r w:rsidRPr="00C81460">
        <w:rPr>
          <w:rFonts w:ascii="Times New Roman" w:hAnsi="Times New Roman"/>
          <w:sz w:val="24"/>
          <w:szCs w:val="24"/>
        </w:rPr>
        <w:t>SEGEP, Departamento Estadual de Estradas de Rodagem, Infraestrutura e Serviços Públicos - DER, Polícia Civil - PC, Polícia Militar - PM e Fundo Estadual de Saúde - FES.</w:t>
      </w:r>
    </w:p>
    <w:p w:rsidR="00065F01" w:rsidRPr="00524A96" w:rsidRDefault="00065F01" w:rsidP="00065F01">
      <w:pPr>
        <w:pStyle w:val="Corpodetexto"/>
        <w:spacing w:line="240" w:lineRule="auto"/>
        <w:ind w:left="5103"/>
        <w:rPr>
          <w:rFonts w:ascii="Times New Roman" w:hAnsi="Times New Roman"/>
          <w:b/>
          <w:sz w:val="22"/>
          <w:szCs w:val="26"/>
        </w:rPr>
      </w:pPr>
    </w:p>
    <w:p w:rsidR="00970B0E" w:rsidRPr="00C37E4E" w:rsidRDefault="00970B0E" w:rsidP="00970B0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970B0E" w:rsidRPr="00C37E4E" w:rsidRDefault="00970B0E" w:rsidP="00970B0E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970B0E" w:rsidRPr="00524A96" w:rsidRDefault="00970B0E" w:rsidP="00970B0E">
      <w:pPr>
        <w:ind w:firstLine="561"/>
        <w:jc w:val="both"/>
        <w:rPr>
          <w:sz w:val="22"/>
          <w:szCs w:val="26"/>
        </w:rPr>
      </w:pPr>
    </w:p>
    <w:p w:rsidR="008A6890" w:rsidRPr="008A6890" w:rsidRDefault="008A6890" w:rsidP="008A6890">
      <w:pPr>
        <w:ind w:firstLine="567"/>
        <w:jc w:val="both"/>
        <w:rPr>
          <w:bCs/>
        </w:rPr>
      </w:pPr>
      <w:r w:rsidRPr="008A6890">
        <w:rPr>
          <w:bCs/>
        </w:rPr>
        <w:t xml:space="preserve">Art. 1º. Fica o Poder Executivo autorizado a abrir crédito adicional suplementar por anulação, até o montante de R$ 50.915.824,81 (cinquenta milhões, novecentos e quinze mil, oitocentos e vinte e quatro reais e oitenta e um centavos), para dar cobertura orçamentária às despesas corrente e de capital, no presente exercício, em favor das Unidades Orçamentárias: Superintendência de Gestão dos Gastos Públicos Administrativos - SUGESP, Fundo Especial de Modernização da Procuradoria-Geral do Estado de Rondônia - FUMORPGE, Superintendência Estadual de Gestão de Pessoas - SEGEP, Departamento Estadual de Estradas de Rodagem, Infraestrutura e Serviços Públicos - DER, Polícia Civil - PC, Polícia Militar - PM e Fundo Estadual de Saúde - FES. </w:t>
      </w:r>
    </w:p>
    <w:p w:rsidR="008A6890" w:rsidRPr="008A6890" w:rsidRDefault="008A6890" w:rsidP="008A6890">
      <w:pPr>
        <w:ind w:firstLine="567"/>
        <w:jc w:val="both"/>
        <w:rPr>
          <w:bCs/>
        </w:rPr>
      </w:pPr>
    </w:p>
    <w:p w:rsidR="00D70918" w:rsidRPr="00D70918" w:rsidRDefault="008A6890" w:rsidP="008A6890">
      <w:pPr>
        <w:ind w:firstLine="567"/>
        <w:jc w:val="both"/>
        <w:rPr>
          <w:bCs/>
        </w:rPr>
      </w:pPr>
      <w:r w:rsidRPr="008A6890">
        <w:rPr>
          <w:bCs/>
        </w:rPr>
        <w:t>Art. 2º. Os recursos necessários à execução do disp</w:t>
      </w:r>
      <w:r w:rsidR="00C574A1">
        <w:rPr>
          <w:bCs/>
        </w:rPr>
        <w:t>osto do artigo anterior decorre</w:t>
      </w:r>
      <w:r w:rsidRPr="008A6890">
        <w:rPr>
          <w:bCs/>
        </w:rPr>
        <w:t>rão de anulação parcial de dotações orçamentárias, indicados no Anexo I desta Lei e no montante especificado.</w:t>
      </w:r>
    </w:p>
    <w:p w:rsidR="00D70918" w:rsidRPr="008A6890" w:rsidRDefault="00D70918" w:rsidP="00D70918">
      <w:pPr>
        <w:ind w:firstLine="567"/>
        <w:jc w:val="both"/>
        <w:rPr>
          <w:bCs/>
        </w:rPr>
      </w:pPr>
    </w:p>
    <w:p w:rsidR="00970B0E" w:rsidRDefault="00D70918" w:rsidP="00D70918">
      <w:pPr>
        <w:ind w:firstLine="567"/>
        <w:jc w:val="both"/>
        <w:rPr>
          <w:szCs w:val="26"/>
        </w:rPr>
      </w:pPr>
      <w:r w:rsidRPr="00D70918">
        <w:rPr>
          <w:bCs/>
        </w:rPr>
        <w:t>Art. 3º. Esta Lei entra em vigor na data de sua publicação.</w:t>
      </w:r>
    </w:p>
    <w:p w:rsidR="00970B0E" w:rsidRPr="008A6890" w:rsidRDefault="00970B0E" w:rsidP="00970B0E">
      <w:pPr>
        <w:ind w:firstLine="567"/>
        <w:jc w:val="both"/>
        <w:rPr>
          <w:szCs w:val="26"/>
        </w:rPr>
      </w:pPr>
    </w:p>
    <w:p w:rsidR="00970B0E" w:rsidRPr="00B85777" w:rsidRDefault="00970B0E" w:rsidP="00970B0E">
      <w:pPr>
        <w:ind w:firstLine="567"/>
        <w:jc w:val="both"/>
      </w:pPr>
      <w:r w:rsidRPr="00B85777">
        <w:t>Palácio do G</w:t>
      </w:r>
      <w:r>
        <w:t>overno do Estado de Rondônia, em</w:t>
      </w:r>
      <w:r w:rsidR="00CB3DAC">
        <w:t xml:space="preserve"> 21 </w:t>
      </w:r>
      <w:r w:rsidRPr="00B85777">
        <w:t>de</w:t>
      </w:r>
      <w:r>
        <w:t xml:space="preserve"> </w:t>
      </w:r>
      <w:r w:rsidR="007D75FF">
        <w:t>setembro</w:t>
      </w:r>
      <w:r>
        <w:t xml:space="preserve">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970B0E" w:rsidRPr="008A6890" w:rsidRDefault="00970B0E" w:rsidP="00DA1724">
      <w:pPr>
        <w:jc w:val="center"/>
      </w:pPr>
    </w:p>
    <w:p w:rsidR="00970B0E" w:rsidRDefault="00970B0E" w:rsidP="00970B0E">
      <w:pPr>
        <w:tabs>
          <w:tab w:val="left" w:pos="4365"/>
        </w:tabs>
        <w:jc w:val="center"/>
      </w:pPr>
    </w:p>
    <w:p w:rsidR="00524A96" w:rsidRPr="00C574A1" w:rsidRDefault="00524A96" w:rsidP="00970B0E">
      <w:pPr>
        <w:tabs>
          <w:tab w:val="left" w:pos="4365"/>
        </w:tabs>
        <w:jc w:val="center"/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970B0E" w:rsidRPr="00B85777" w:rsidRDefault="00970B0E" w:rsidP="00970B0E">
      <w:pPr>
        <w:jc w:val="center"/>
        <w:rPr>
          <w:b/>
        </w:rPr>
      </w:pPr>
      <w:r w:rsidRPr="00B85777">
        <w:t>Governador</w:t>
      </w: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Pr="004C343A" w:rsidRDefault="00641735" w:rsidP="00641735">
      <w:pPr>
        <w:ind w:right="-1"/>
        <w:jc w:val="center"/>
      </w:pPr>
      <w:r w:rsidRPr="004C343A">
        <w:rPr>
          <w:b/>
          <w:bCs/>
        </w:rPr>
        <w:lastRenderedPageBreak/>
        <w:t xml:space="preserve">ANEXO I </w:t>
      </w:r>
    </w:p>
    <w:p w:rsidR="00641735" w:rsidRPr="008C79CD" w:rsidRDefault="00641735" w:rsidP="00641735">
      <w:pPr>
        <w:ind w:right="-1"/>
        <w:jc w:val="both"/>
      </w:pPr>
    </w:p>
    <w:p w:rsidR="00641735" w:rsidRPr="004C343A" w:rsidRDefault="00641735" w:rsidP="00641735">
      <w:pPr>
        <w:ind w:right="-1" w:hanging="142"/>
        <w:jc w:val="both"/>
        <w:rPr>
          <w:sz w:val="20"/>
          <w:szCs w:val="20"/>
        </w:rPr>
      </w:pPr>
      <w:r w:rsidRPr="004C343A">
        <w:rPr>
          <w:b/>
          <w:bCs/>
          <w:sz w:val="20"/>
          <w:szCs w:val="20"/>
        </w:rPr>
        <w:t xml:space="preserve">CRÉDITO ADICIONAL SUPLEMENTAR POR ANULAÇÃO                                                              REDUZ </w:t>
      </w:r>
    </w:p>
    <w:tbl>
      <w:tblPr>
        <w:tblW w:w="9738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3897"/>
        <w:gridCol w:w="1054"/>
        <w:gridCol w:w="949"/>
        <w:gridCol w:w="1569"/>
      </w:tblGrid>
      <w:tr w:rsidR="00641735" w:rsidRPr="008C79CD" w:rsidTr="0022294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735" w:rsidRPr="008C79CD" w:rsidRDefault="00641735" w:rsidP="00222947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735" w:rsidRPr="008C79CD" w:rsidRDefault="00641735" w:rsidP="00222947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735" w:rsidRPr="008C79CD" w:rsidRDefault="00641735" w:rsidP="00222947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735" w:rsidRPr="008C79CD" w:rsidRDefault="00641735" w:rsidP="00222947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735" w:rsidRPr="008C79CD" w:rsidRDefault="00641735" w:rsidP="00222947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41735" w:rsidRPr="008C79CD" w:rsidRDefault="00641735" w:rsidP="00641735">
      <w:pPr>
        <w:ind w:right="-1"/>
        <w:jc w:val="both"/>
        <w:rPr>
          <w:vanish/>
        </w:rPr>
      </w:pPr>
    </w:p>
    <w:tbl>
      <w:tblPr>
        <w:tblW w:w="10323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2"/>
        <w:gridCol w:w="3858"/>
        <w:gridCol w:w="1185"/>
        <w:gridCol w:w="891"/>
        <w:gridCol w:w="1527"/>
      </w:tblGrid>
      <w:tr w:rsidR="00641735" w:rsidRPr="008C79CD" w:rsidTr="00222947">
        <w:trPr>
          <w:tblCellSpacing w:w="0" w:type="dxa"/>
        </w:trPr>
        <w:tc>
          <w:tcPr>
            <w:tcW w:w="2862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</w:p>
        </w:tc>
        <w:tc>
          <w:tcPr>
            <w:tcW w:w="3859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FUNDO ESPECIAL DE MODERNIZAÇÃO DA PROCURADORIA-GERAL DO ESTADO DE RONDÔNIA - FUMORPGE</w:t>
            </w:r>
          </w:p>
        </w:tc>
        <w:tc>
          <w:tcPr>
            <w:tcW w:w="1184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  <w:hideMark/>
          </w:tcPr>
          <w:p w:rsidR="00641735" w:rsidRPr="008C79CD" w:rsidRDefault="00641735" w:rsidP="00222947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527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443.162,00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862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11.010.04.122.1277.2087</w:t>
            </w:r>
          </w:p>
        </w:tc>
        <w:tc>
          <w:tcPr>
            <w:tcW w:w="3859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184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91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0210</w:t>
            </w:r>
          </w:p>
        </w:tc>
        <w:tc>
          <w:tcPr>
            <w:tcW w:w="1527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392.362,00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862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</w:p>
        </w:tc>
        <w:tc>
          <w:tcPr>
            <w:tcW w:w="3859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4490</w:t>
            </w:r>
          </w:p>
        </w:tc>
        <w:tc>
          <w:tcPr>
            <w:tcW w:w="891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0210</w:t>
            </w:r>
          </w:p>
        </w:tc>
        <w:tc>
          <w:tcPr>
            <w:tcW w:w="1527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50.800,00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862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</w:p>
        </w:tc>
        <w:tc>
          <w:tcPr>
            <w:tcW w:w="3859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184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  <w:hideMark/>
          </w:tcPr>
          <w:p w:rsidR="00641735" w:rsidRPr="008C79CD" w:rsidRDefault="00641735" w:rsidP="00222947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527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4.035.000,00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862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13.001.04.122.1015.2087</w:t>
            </w:r>
          </w:p>
        </w:tc>
        <w:tc>
          <w:tcPr>
            <w:tcW w:w="3859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184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91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0213</w:t>
            </w:r>
          </w:p>
        </w:tc>
        <w:tc>
          <w:tcPr>
            <w:tcW w:w="1527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4.035.000,00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862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</w:p>
        </w:tc>
        <w:tc>
          <w:tcPr>
            <w:tcW w:w="3859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184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  <w:hideMark/>
          </w:tcPr>
          <w:p w:rsidR="00641735" w:rsidRPr="008C79CD" w:rsidRDefault="00641735" w:rsidP="00222947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527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46.437.662,81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862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21.001.03.421.1242.2818</w:t>
            </w:r>
          </w:p>
        </w:tc>
        <w:tc>
          <w:tcPr>
            <w:tcW w:w="3859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GARANTIR A GESTÃO COMPARTILHADA DO SISTEMA PENITENCIÁRIO</w:t>
            </w:r>
          </w:p>
        </w:tc>
        <w:tc>
          <w:tcPr>
            <w:tcW w:w="1184" w:type="dxa"/>
            <w:vAlign w:val="center"/>
            <w:hideMark/>
          </w:tcPr>
          <w:p w:rsidR="00641735" w:rsidRPr="008C79CD" w:rsidRDefault="00641735" w:rsidP="00222947">
            <w:pPr>
              <w:ind w:left="675" w:right="-1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91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27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46.437.662,81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1735" w:rsidRPr="008C79CD" w:rsidRDefault="00641735" w:rsidP="00222947">
            <w:pPr>
              <w:ind w:left="675" w:right="-1"/>
              <w:jc w:val="right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27" w:type="dxa"/>
            <w:vAlign w:val="center"/>
            <w:hideMark/>
          </w:tcPr>
          <w:p w:rsidR="00641735" w:rsidRPr="008C79CD" w:rsidRDefault="00641735" w:rsidP="00222947">
            <w:pPr>
              <w:ind w:right="-1"/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R$ 50.915.824,81</w:t>
            </w:r>
          </w:p>
        </w:tc>
      </w:tr>
    </w:tbl>
    <w:p w:rsidR="003A5906" w:rsidRDefault="003A5906" w:rsidP="003A5906">
      <w:pPr>
        <w:spacing w:after="240"/>
        <w:jc w:val="both"/>
      </w:pPr>
    </w:p>
    <w:p w:rsidR="003A5906" w:rsidRDefault="003A5906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FC1641" w:rsidRDefault="00FC1641" w:rsidP="003A5906">
      <w:pPr>
        <w:jc w:val="center"/>
        <w:rPr>
          <w:b/>
          <w:bCs/>
          <w:szCs w:val="18"/>
        </w:rPr>
      </w:pPr>
    </w:p>
    <w:p w:rsidR="00641735" w:rsidRPr="00041DB8" w:rsidRDefault="00641735" w:rsidP="00641735">
      <w:pPr>
        <w:jc w:val="center"/>
      </w:pPr>
      <w:r w:rsidRPr="00041DB8">
        <w:rPr>
          <w:b/>
          <w:bCs/>
        </w:rPr>
        <w:lastRenderedPageBreak/>
        <w:t xml:space="preserve">ANEXO II </w:t>
      </w:r>
    </w:p>
    <w:p w:rsidR="00641735" w:rsidRPr="008C79CD" w:rsidRDefault="00641735" w:rsidP="00641735">
      <w:pPr>
        <w:jc w:val="both"/>
      </w:pPr>
    </w:p>
    <w:p w:rsidR="00641735" w:rsidRPr="00041DB8" w:rsidRDefault="00641735" w:rsidP="00641735">
      <w:pPr>
        <w:ind w:hanging="170"/>
        <w:jc w:val="both"/>
        <w:rPr>
          <w:sz w:val="20"/>
          <w:szCs w:val="20"/>
        </w:rPr>
      </w:pPr>
      <w:r w:rsidRPr="008C79CD">
        <w:rPr>
          <w:b/>
          <w:bCs/>
          <w:sz w:val="18"/>
          <w:szCs w:val="18"/>
        </w:rPr>
        <w:t xml:space="preserve">    </w:t>
      </w:r>
      <w:r w:rsidRPr="00041DB8">
        <w:rPr>
          <w:b/>
          <w:bCs/>
          <w:sz w:val="20"/>
          <w:szCs w:val="20"/>
        </w:rPr>
        <w:t xml:space="preserve">CRÉDITO ADICIONAL SUPLEMENTAR POR ANULAÇÃO                                                SUPLEMENTA </w:t>
      </w:r>
    </w:p>
    <w:tbl>
      <w:tblPr>
        <w:tblW w:w="959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841"/>
        <w:gridCol w:w="949"/>
        <w:gridCol w:w="1569"/>
      </w:tblGrid>
      <w:tr w:rsidR="00641735" w:rsidRPr="008C79CD" w:rsidTr="0022294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41735" w:rsidRPr="008C79CD" w:rsidRDefault="00641735" w:rsidP="00641735">
      <w:pPr>
        <w:jc w:val="both"/>
        <w:rPr>
          <w:vanish/>
        </w:rPr>
      </w:pPr>
    </w:p>
    <w:tbl>
      <w:tblPr>
        <w:tblW w:w="10323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9"/>
        <w:gridCol w:w="3977"/>
        <w:gridCol w:w="994"/>
        <w:gridCol w:w="828"/>
        <w:gridCol w:w="1575"/>
      </w:tblGrid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6.204.843,81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11.009.04.122.2071.2554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4.204.843,81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11.009.04.122.2071.2555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 xml:space="preserve">PROMOVER A PUBLICIDADE DE UTILIDADE PÚBLICA 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2.000.000,00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DA1724">
            <w:pPr>
              <w:ind w:left="675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FUNDO ESPECIAL DE MODERNIZAÇÃO DA PROCURADORIA-GERAL DO ESTADO DE RONDÔNIA - FUMORPGE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443.162,00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11.010.04.122.1277.2064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PROMOVER A GESTÃO DE T.I.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4490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0210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443.162,00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1.438.486,00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13.006.04.122.1015.2087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1.438.486,00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14.770.000,00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14.020.26.452.2057.1384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644.000,00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14.020.26.782.1249.1386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4490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8.800.000,00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5.326.000,00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2.500.000,00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15.003.06.181.2020.2154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2.500.000,00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15.005.06.181.2020.2154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3.000.000,00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22.559.333,00</w:t>
            </w:r>
          </w:p>
        </w:tc>
      </w:tr>
      <w:tr w:rsidR="00641735" w:rsidRPr="008C79CD" w:rsidTr="00DA1724">
        <w:trPr>
          <w:tblCellSpacing w:w="0" w:type="dxa"/>
        </w:trPr>
        <w:tc>
          <w:tcPr>
            <w:tcW w:w="2949" w:type="dxa"/>
            <w:vAlign w:val="center"/>
          </w:tcPr>
          <w:p w:rsidR="00641735" w:rsidRPr="008C79CD" w:rsidRDefault="00641735" w:rsidP="00641735">
            <w:pPr>
              <w:ind w:left="675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</w:tcPr>
          <w:p w:rsidR="00641735" w:rsidRPr="008C79CD" w:rsidRDefault="00641735" w:rsidP="00222947">
            <w:pPr>
              <w:ind w:left="67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1735" w:rsidRPr="008C79CD" w:rsidRDefault="00641735" w:rsidP="00222947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641735" w:rsidRPr="008C79CD" w:rsidRDefault="00641735" w:rsidP="0022294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17.012.10.122.1015.2087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4.016.000,00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17.012.10.122.1015.2091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2.000.000,00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17.012.10.301.1093.0253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3350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4.035.000,00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17.012.10.302.2034.2117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INCENTIVO AOS HOSPITAIS DE PEQUENO PORTE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3340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368.333,00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lastRenderedPageBreak/>
              <w:t>17.012.10.302.2034.4004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ASSEGURAR ATENDIMENTO EM SAÚDE POR MEIO DE CONVÊNIOS E CONTRATO</w:t>
            </w:r>
            <w:r>
              <w:rPr>
                <w:sz w:val="18"/>
                <w:szCs w:val="18"/>
              </w:rPr>
              <w:t>S</w:t>
            </w:r>
            <w:r w:rsidRPr="008C79CD">
              <w:rPr>
                <w:sz w:val="18"/>
                <w:szCs w:val="18"/>
              </w:rPr>
              <w:t xml:space="preserve"> COM A REDE PRIVADA 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3.360.000,00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17.012.10.302.2034.4009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5.780.000,00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2949" w:type="dxa"/>
            <w:vAlign w:val="center"/>
            <w:hideMark/>
          </w:tcPr>
          <w:p w:rsidR="00641735" w:rsidRPr="008C79CD" w:rsidRDefault="00641735" w:rsidP="00222947">
            <w:pPr>
              <w:ind w:left="675"/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17.012.10.302.2069.4008</w:t>
            </w:r>
          </w:p>
        </w:tc>
        <w:tc>
          <w:tcPr>
            <w:tcW w:w="3977" w:type="dxa"/>
            <w:vAlign w:val="center"/>
            <w:hideMark/>
          </w:tcPr>
          <w:p w:rsidR="00641735" w:rsidRPr="008C79CD" w:rsidRDefault="00641735" w:rsidP="00222947">
            <w:pPr>
              <w:ind w:left="675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MANTER ASSISTÊNCIA FARMACÊUTICA NAS UNIDADES HOSPITALARES</w:t>
            </w:r>
          </w:p>
        </w:tc>
        <w:tc>
          <w:tcPr>
            <w:tcW w:w="994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3390</w:t>
            </w:r>
          </w:p>
        </w:tc>
        <w:tc>
          <w:tcPr>
            <w:tcW w:w="828" w:type="dxa"/>
            <w:vAlign w:val="center"/>
            <w:hideMark/>
          </w:tcPr>
          <w:p w:rsidR="00641735" w:rsidRPr="008C79CD" w:rsidRDefault="00641735" w:rsidP="00222947">
            <w:pPr>
              <w:jc w:val="center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0100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sz w:val="18"/>
                <w:szCs w:val="18"/>
              </w:rPr>
              <w:t>3.000.000,00</w:t>
            </w:r>
          </w:p>
        </w:tc>
      </w:tr>
      <w:tr w:rsidR="00641735" w:rsidRPr="008C79CD" w:rsidTr="0022294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1735" w:rsidRPr="008C79CD" w:rsidRDefault="00641735" w:rsidP="00222947">
            <w:pPr>
              <w:ind w:left="675"/>
              <w:jc w:val="right"/>
              <w:rPr>
                <w:b/>
                <w:bCs/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75" w:type="dxa"/>
            <w:vAlign w:val="center"/>
            <w:hideMark/>
          </w:tcPr>
          <w:p w:rsidR="00641735" w:rsidRPr="008C79CD" w:rsidRDefault="00641735" w:rsidP="00222947">
            <w:pPr>
              <w:jc w:val="right"/>
              <w:rPr>
                <w:sz w:val="18"/>
                <w:szCs w:val="18"/>
              </w:rPr>
            </w:pPr>
            <w:r w:rsidRPr="008C79CD">
              <w:rPr>
                <w:b/>
                <w:bCs/>
                <w:sz w:val="18"/>
                <w:szCs w:val="18"/>
              </w:rPr>
              <w:t>R$ 50.915.824,81</w:t>
            </w:r>
          </w:p>
        </w:tc>
      </w:tr>
    </w:tbl>
    <w:p w:rsidR="00065F01" w:rsidRPr="00970B0E" w:rsidRDefault="00065F01" w:rsidP="000F41B7">
      <w:pPr>
        <w:jc w:val="center"/>
      </w:pPr>
    </w:p>
    <w:sectPr w:rsidR="00065F01" w:rsidRPr="00970B0E" w:rsidSect="00DA1724">
      <w:headerReference w:type="default" r:id="rId7"/>
      <w:footerReference w:type="default" r:id="rId8"/>
      <w:pgSz w:w="11906" w:h="16838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29" w:rsidRDefault="00DB7B29" w:rsidP="00970B0E">
      <w:r>
        <w:separator/>
      </w:r>
    </w:p>
  </w:endnote>
  <w:endnote w:type="continuationSeparator" w:id="0">
    <w:p w:rsidR="00DB7B29" w:rsidRDefault="00DB7B29" w:rsidP="009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>
    <w:pPr>
      <w:pStyle w:val="Rodap"/>
      <w:jc w:val="center"/>
    </w:pPr>
  </w:p>
  <w:p w:rsidR="00DB7B29" w:rsidRDefault="00DB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29" w:rsidRDefault="00DB7B29" w:rsidP="00970B0E">
      <w:r>
        <w:separator/>
      </w:r>
    </w:p>
  </w:footnote>
  <w:footnote w:type="continuationSeparator" w:id="0">
    <w:p w:rsidR="00DB7B29" w:rsidRDefault="00DB7B29" w:rsidP="009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 w:rsidP="00DB7B2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7489321" r:id="rId2"/>
      </w:object>
    </w:r>
  </w:p>
  <w:p w:rsidR="00DB7B29" w:rsidRPr="004B5FB8" w:rsidRDefault="00DB7B29" w:rsidP="00DB7B2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DB7B29" w:rsidRDefault="00DB7B29" w:rsidP="00DB7B2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DB7B29" w:rsidRPr="004B5FB8" w:rsidRDefault="00DB7B29" w:rsidP="00DB7B2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0E"/>
    <w:rsid w:val="00065F01"/>
    <w:rsid w:val="000F41B7"/>
    <w:rsid w:val="00211592"/>
    <w:rsid w:val="00243834"/>
    <w:rsid w:val="00357791"/>
    <w:rsid w:val="003A5906"/>
    <w:rsid w:val="004F1361"/>
    <w:rsid w:val="00524A96"/>
    <w:rsid w:val="005B17F5"/>
    <w:rsid w:val="005C4317"/>
    <w:rsid w:val="005E105C"/>
    <w:rsid w:val="00641735"/>
    <w:rsid w:val="006611B1"/>
    <w:rsid w:val="007B0548"/>
    <w:rsid w:val="007D705B"/>
    <w:rsid w:val="007D75FF"/>
    <w:rsid w:val="008A6890"/>
    <w:rsid w:val="008C2F74"/>
    <w:rsid w:val="00970B0E"/>
    <w:rsid w:val="009A3010"/>
    <w:rsid w:val="009E5D81"/>
    <w:rsid w:val="00AF71F2"/>
    <w:rsid w:val="00C574A1"/>
    <w:rsid w:val="00C725C8"/>
    <w:rsid w:val="00C81460"/>
    <w:rsid w:val="00CB3DAC"/>
    <w:rsid w:val="00D70918"/>
    <w:rsid w:val="00DA1724"/>
    <w:rsid w:val="00DA5EF7"/>
    <w:rsid w:val="00DB7B29"/>
    <w:rsid w:val="00DF4A15"/>
    <w:rsid w:val="00ED1625"/>
    <w:rsid w:val="00F51F0A"/>
    <w:rsid w:val="00F5488D"/>
    <w:rsid w:val="00F90E20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1D06C13F-4EF9-4363-BD19-EACD512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F534-C563-49B8-AD6E-C9B23DA3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Maria Auxiliadora dos Santos</cp:lastModifiedBy>
  <cp:revision>4</cp:revision>
  <cp:lastPrinted>2017-09-14T15:41:00Z</cp:lastPrinted>
  <dcterms:created xsi:type="dcterms:W3CDTF">2017-09-14T15:54:00Z</dcterms:created>
  <dcterms:modified xsi:type="dcterms:W3CDTF">2017-09-21T12:56:00Z</dcterms:modified>
</cp:coreProperties>
</file>