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AA3" w:rsidRPr="00756AA3" w:rsidRDefault="00756AA3" w:rsidP="00756AA3">
      <w:pPr>
        <w:pStyle w:val="Corpodetexto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56AA3">
        <w:rPr>
          <w:rFonts w:ascii="Times New Roman" w:hAnsi="Times New Roman"/>
          <w:sz w:val="24"/>
          <w:szCs w:val="24"/>
          <w:lang w:val="x-none"/>
        </w:rPr>
        <w:t xml:space="preserve">LEI </w:t>
      </w:r>
      <w:r w:rsidR="007A7DB7">
        <w:rPr>
          <w:rFonts w:ascii="Times New Roman" w:hAnsi="Times New Roman"/>
          <w:sz w:val="24"/>
          <w:szCs w:val="24"/>
        </w:rPr>
        <w:t>N. 4.088</w:t>
      </w:r>
      <w:bookmarkStart w:id="0" w:name="_GoBack"/>
      <w:bookmarkEnd w:id="0"/>
      <w:r w:rsidRPr="00756AA3">
        <w:rPr>
          <w:rFonts w:ascii="Times New Roman" w:hAnsi="Times New Roman"/>
          <w:sz w:val="24"/>
          <w:szCs w:val="24"/>
        </w:rPr>
        <w:t xml:space="preserve">, </w:t>
      </w:r>
      <w:r w:rsidRPr="00756AA3">
        <w:rPr>
          <w:rFonts w:ascii="Times New Roman" w:hAnsi="Times New Roman"/>
          <w:sz w:val="24"/>
          <w:szCs w:val="24"/>
          <w:lang w:val="x-none"/>
        </w:rPr>
        <w:t>DE</w:t>
      </w:r>
      <w:r>
        <w:rPr>
          <w:rFonts w:ascii="Times New Roman" w:hAnsi="Times New Roman"/>
          <w:sz w:val="24"/>
          <w:szCs w:val="24"/>
        </w:rPr>
        <w:t xml:space="preserve"> </w:t>
      </w:r>
      <w:r w:rsidR="007A7DB7">
        <w:rPr>
          <w:rFonts w:ascii="Times New Roman" w:hAnsi="Times New Roman"/>
          <w:sz w:val="24"/>
          <w:szCs w:val="24"/>
        </w:rPr>
        <w:t>20</w:t>
      </w:r>
      <w:r w:rsidRPr="00756AA3">
        <w:rPr>
          <w:rFonts w:ascii="Times New Roman" w:hAnsi="Times New Roman"/>
          <w:sz w:val="24"/>
          <w:szCs w:val="24"/>
        </w:rPr>
        <w:t xml:space="preserve"> </w:t>
      </w:r>
      <w:r w:rsidRPr="00756AA3">
        <w:rPr>
          <w:rFonts w:ascii="Times New Roman" w:hAnsi="Times New Roman"/>
          <w:sz w:val="24"/>
          <w:szCs w:val="24"/>
          <w:lang w:val="x-none"/>
        </w:rPr>
        <w:t>DE</w:t>
      </w:r>
      <w:r w:rsidRPr="00756AA3">
        <w:rPr>
          <w:rFonts w:ascii="Times New Roman" w:hAnsi="Times New Roman"/>
          <w:sz w:val="24"/>
          <w:szCs w:val="24"/>
        </w:rPr>
        <w:t xml:space="preserve"> JUNHO </w:t>
      </w:r>
      <w:r w:rsidRPr="00756AA3">
        <w:rPr>
          <w:rFonts w:ascii="Times New Roman" w:hAnsi="Times New Roman"/>
          <w:sz w:val="24"/>
          <w:szCs w:val="24"/>
          <w:lang w:val="x-none"/>
        </w:rPr>
        <w:t>DE 201</w:t>
      </w:r>
      <w:r w:rsidRPr="00756AA3">
        <w:rPr>
          <w:rFonts w:ascii="Times New Roman" w:hAnsi="Times New Roman"/>
          <w:sz w:val="24"/>
          <w:szCs w:val="24"/>
        </w:rPr>
        <w:t>7</w:t>
      </w:r>
      <w:r w:rsidRPr="00756AA3">
        <w:rPr>
          <w:rFonts w:ascii="Times New Roman" w:hAnsi="Times New Roman"/>
          <w:sz w:val="24"/>
          <w:szCs w:val="24"/>
          <w:lang w:val="x-none"/>
        </w:rPr>
        <w:t>.</w:t>
      </w:r>
    </w:p>
    <w:p w:rsidR="00756AA3" w:rsidRPr="00756AA3" w:rsidRDefault="00756AA3" w:rsidP="00756AA3">
      <w:pPr>
        <w:pStyle w:val="Corpodetexto"/>
        <w:spacing w:line="240" w:lineRule="auto"/>
        <w:ind w:left="5103" w:hanging="5103"/>
        <w:jc w:val="center"/>
        <w:rPr>
          <w:rFonts w:ascii="Times New Roman" w:hAnsi="Times New Roman"/>
          <w:sz w:val="24"/>
          <w:szCs w:val="24"/>
        </w:rPr>
      </w:pPr>
    </w:p>
    <w:p w:rsidR="00756AA3" w:rsidRPr="00756AA3" w:rsidRDefault="00756AA3" w:rsidP="00756AA3">
      <w:pPr>
        <w:ind w:left="5103"/>
        <w:jc w:val="both"/>
      </w:pPr>
      <w:r w:rsidRPr="00756AA3">
        <w:rPr>
          <w:lang w:eastAsia="en-US"/>
        </w:rPr>
        <w:t xml:space="preserve">Institui o Programa de Aposentadoria Incentivada </w:t>
      </w:r>
      <w:r>
        <w:rPr>
          <w:lang w:eastAsia="en-US"/>
        </w:rPr>
        <w:t>-</w:t>
      </w:r>
      <w:r w:rsidRPr="00756AA3">
        <w:rPr>
          <w:lang w:eastAsia="en-US"/>
        </w:rPr>
        <w:t xml:space="preserve"> PAI, destinado aos servidores do quadro efetivo do Tribunal de Contas do Estado de Rondônia, e dá outras providências</w:t>
      </w:r>
      <w:r w:rsidRPr="00756AA3">
        <w:rPr>
          <w:spacing w:val="-4"/>
        </w:rPr>
        <w:t>.</w:t>
      </w:r>
    </w:p>
    <w:p w:rsidR="00756AA3" w:rsidRPr="00756AA3" w:rsidRDefault="00756AA3" w:rsidP="00756AA3">
      <w:pPr>
        <w:jc w:val="both"/>
      </w:pPr>
    </w:p>
    <w:p w:rsidR="00756AA3" w:rsidRPr="00756AA3" w:rsidRDefault="00756AA3" w:rsidP="00756AA3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756AA3">
        <w:rPr>
          <w:rFonts w:ascii="Times New Roman" w:eastAsia="Times New Roman" w:hAnsi="Times New Roman" w:cs="Times New Roman"/>
        </w:rPr>
        <w:t>O GOVERNADOR DO ESTADO DE RONDÔNIA:</w:t>
      </w:r>
    </w:p>
    <w:p w:rsidR="00756AA3" w:rsidRPr="00756AA3" w:rsidRDefault="00756AA3" w:rsidP="00756AA3">
      <w:pPr>
        <w:ind w:firstLine="567"/>
        <w:jc w:val="both"/>
      </w:pPr>
      <w:r w:rsidRPr="00756AA3">
        <w:t>Faço saber que a Assembleia Legislativa decreta e eu sanciono a seguinte Lei:</w:t>
      </w:r>
    </w:p>
    <w:p w:rsidR="00756AA3" w:rsidRPr="00756AA3" w:rsidRDefault="00756AA3" w:rsidP="00756AA3">
      <w:pPr>
        <w:ind w:firstLine="561"/>
        <w:jc w:val="both"/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Art. 1º. Fica instituído o Programa de Aposentadoria Incentivada </w:t>
      </w:r>
      <w:r w:rsidR="006D03D4">
        <w:rPr>
          <w:rFonts w:eastAsia="Calibri"/>
          <w:lang w:eastAsia="en-US"/>
        </w:rPr>
        <w:t>-</w:t>
      </w:r>
      <w:r w:rsidRPr="00756AA3">
        <w:rPr>
          <w:rFonts w:eastAsia="Calibri"/>
          <w:lang w:eastAsia="en-US"/>
        </w:rPr>
        <w:t xml:space="preserve"> PAI, destinado aos servidores do quadro efetivo do Tribunal de Contas do Estado de Rondônia que preencham os requisitos para a aposentadoria voluntária.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Parágrafo único. </w:t>
      </w:r>
      <w:r w:rsidRPr="00756AA3">
        <w:rPr>
          <w:rFonts w:eastAsia="Calibri"/>
          <w:lang w:eastAsia="en-US"/>
        </w:rPr>
        <w:t xml:space="preserve">O Programa de que trata o </w:t>
      </w:r>
      <w:r w:rsidRPr="006D03D4">
        <w:rPr>
          <w:rFonts w:eastAsia="Calibri"/>
          <w:lang w:eastAsia="en-US"/>
        </w:rPr>
        <w:t>caput</w:t>
      </w:r>
      <w:r w:rsidRPr="00756AA3">
        <w:rPr>
          <w:rFonts w:eastAsia="Calibri"/>
          <w:lang w:eastAsia="en-US"/>
        </w:rPr>
        <w:t xml:space="preserve"> terá prazo de vigência até 31 de dezembro de 2020.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2º. Poderá aderir ao Programa de Aposentadoria Incentivada o servidor efetivo do Quadro de Pessoal do Tribunal de Contas que, até 31 de dezembro de 2020, preencha os seguintes requisitos: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 - não esteja respondendo a processo disciplinar;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II - não esteja respondendo a processo judicial pela imputação de ato ou fato criminoso, ímprobo ou outro que implique a perda do cargo ou a restituição de valores ao erário;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III - requeira o benefício até 60 (sessenta) dias após a data do preenchimento dos requisitos para a aposentadoria voluntária.</w:t>
      </w:r>
    </w:p>
    <w:p w:rsidR="00756AA3" w:rsidRPr="00756AA3" w:rsidRDefault="00756AA3" w:rsidP="00756AA3">
      <w:pPr>
        <w:ind w:firstLine="567"/>
        <w:jc w:val="both"/>
        <w:rPr>
          <w:rFonts w:eastAsia="Calibri"/>
          <w:b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§ 1º. O servidor que, na data da entrada em vigor desta Lei, já tiver preenchido os requisitos para a aposentadoria, terá assegurado o direito de requerer o benefício no prazo de até 60 (sessenta) dias após a publicação do ato de regulamentação desta Lei.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§ 2º. Os prazos previstos no inciso III e no §1º deste artigo poderão ser prorrogados por ato do Presidente do Tribunal de Contas. 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3º. A adesão ao Programa de Aposentadoria Incentivada implica: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 - a permanência no exercício das funções do cargo até a data de publicação do ato da aposentadoria;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II - a irreversibilidade da aposentadoria concedida nos termos desta Lei.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4º. O valor do incentivo, de caráter indenizatório, e os critérios de concessão serão disciplinados em resolução pelo Conselho Superior de Administração do Tribunal de Contas.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EC423A" w:rsidRDefault="00756AA3" w:rsidP="00EC423A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§ 1º. A indenização será devida exclusivamente ao servidor que formalizar a adesão ao Programa de Aposentadoria Incentivada e será paga em procedimento próprio, da seguinte forma, a critério da Presidência do Tribunal de Contas: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 - à vista, em até noventa dias contados da publicação do ato de aposentadoria;</w:t>
      </w:r>
    </w:p>
    <w:p w:rsidR="00756AA3" w:rsidRPr="00FD355D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lastRenderedPageBreak/>
        <w:t xml:space="preserve">II - em parcelas </w:t>
      </w:r>
      <w:proofErr w:type="gramStart"/>
      <w:r w:rsidRPr="00756AA3">
        <w:rPr>
          <w:rFonts w:eastAsia="Calibri"/>
          <w:lang w:eastAsia="en-US"/>
        </w:rPr>
        <w:t>mensais, segundo cronograma de desembolso definido na regulamentação do Tribunal de Contas, atendida</w:t>
      </w:r>
      <w:proofErr w:type="gramEnd"/>
      <w:r w:rsidRPr="00756AA3">
        <w:rPr>
          <w:rFonts w:eastAsia="Calibri"/>
          <w:lang w:eastAsia="en-US"/>
        </w:rPr>
        <w:t xml:space="preserve"> a programação orçamentária e financeira.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§ 2º. Os valores correspondentes ao benefício de que trata esta Lei não se incorporam, para nenhum efeito, aos proventos de aposentadoria nem compõem margem de cálculo consignável. 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§ 3º. Para os efeitos deste artigo, as frações de ano são contadas por cálculo duodecimal, considerando-se por inteiro a fração de mês igual ou superior a quinze dias.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5º. A indenização instituída nesta Lei não interfere no cálculo dos proventos de aposentadoria a que tiver direito o aderente na forma da legislação.</w:t>
      </w: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6º. Os pedidos de adesão ao Programa de Aposentadoria Incentivada serão classificados pelo recebimento cronológico, segundo listagem formada a partir de análise do órgão gerenciador, e nesta ordem decididos pelo Presidente do Tribunal.</w:t>
      </w:r>
    </w:p>
    <w:p w:rsidR="00756AA3" w:rsidRPr="00FD355D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Art. 7º. Cabe ao Presidente do Tribunal de Contas </w:t>
      </w:r>
      <w:proofErr w:type="gramStart"/>
      <w:r w:rsidRPr="00756AA3">
        <w:rPr>
          <w:rFonts w:eastAsia="Calibri"/>
          <w:lang w:eastAsia="en-US"/>
        </w:rPr>
        <w:t>definir</w:t>
      </w:r>
      <w:proofErr w:type="gramEnd"/>
      <w:r w:rsidRPr="00756AA3">
        <w:rPr>
          <w:rFonts w:eastAsia="Calibri"/>
          <w:lang w:eastAsia="en-US"/>
        </w:rPr>
        <w:t xml:space="preserve"> a margem dos recursos orçamentário-financeiros destinados ao custeio do Programa de Aposentadoria Incentivada instituído por esta Lei.</w:t>
      </w:r>
    </w:p>
    <w:p w:rsidR="00756AA3" w:rsidRPr="00FD355D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8º. Incumbe ao Tribunal de Contas:</w:t>
      </w:r>
    </w:p>
    <w:p w:rsidR="00B75064" w:rsidRPr="00FD355D" w:rsidRDefault="00B75064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 - receber os pedidos de aposentadoria de que trata esta Lei, instruí-los, em procedimento sumário, e promover-lhes a análise técnico-jurídica;</w:t>
      </w:r>
    </w:p>
    <w:p w:rsidR="00756AA3" w:rsidRPr="00FD355D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II - baixar e publicar os atos constitutivos da decisão proferida no processo em conjunto com o Instituto de Previdência dos Servidores Públicos do Estado de Rondônia - IPERON.</w:t>
      </w:r>
    </w:p>
    <w:p w:rsidR="00756AA3" w:rsidRPr="00FD355D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Art. 9º. Fica assegurado o direito dos servidores do quadro do Tribunal de Contas que aderiram ao Programa de Aposentadoria </w:t>
      </w:r>
      <w:proofErr w:type="gramStart"/>
      <w:r w:rsidRPr="00756AA3">
        <w:rPr>
          <w:rFonts w:eastAsia="Calibri"/>
          <w:lang w:eastAsia="en-US"/>
        </w:rPr>
        <w:t>Incentivada instituído</w:t>
      </w:r>
      <w:proofErr w:type="gramEnd"/>
      <w:r w:rsidRPr="00756AA3">
        <w:rPr>
          <w:rFonts w:eastAsia="Calibri"/>
          <w:lang w:eastAsia="en-US"/>
        </w:rPr>
        <w:t xml:space="preserve"> pela Lei Complementar nº 859, de 18 de fevereiro de 2016, cuja adesão ainda não esteja processada no âmbito administrativo.</w:t>
      </w:r>
    </w:p>
    <w:p w:rsidR="00756AA3" w:rsidRPr="00EC423A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>Art. 10.</w:t>
      </w:r>
      <w:r w:rsidRPr="00756AA3">
        <w:rPr>
          <w:rFonts w:eastAsia="Calibri"/>
          <w:b/>
          <w:lang w:eastAsia="en-US"/>
        </w:rPr>
        <w:t xml:space="preserve"> </w:t>
      </w:r>
      <w:r w:rsidRPr="00756AA3">
        <w:rPr>
          <w:rFonts w:eastAsia="Calibri"/>
          <w:lang w:eastAsia="en-US"/>
        </w:rPr>
        <w:t xml:space="preserve">Fica instituído, no âmbito do Tribunal de Contas do Estado de Rondônia, o Programa de Desligamento Voluntário </w:t>
      </w:r>
      <w:r>
        <w:rPr>
          <w:rFonts w:eastAsia="Calibri"/>
          <w:lang w:eastAsia="en-US"/>
        </w:rPr>
        <w:t>-</w:t>
      </w:r>
      <w:r w:rsidRPr="00756AA3">
        <w:rPr>
          <w:rFonts w:eastAsia="Calibri"/>
          <w:lang w:eastAsia="en-US"/>
        </w:rPr>
        <w:t xml:space="preserve"> PDV, destinado aos servidores públicos do seu quadro efetivo, com o objetivo de possibilitar melhor alocação dos recursos humanos, propiciar a modernização da Administração e auxiliar no equilíbrio das contas públicas, obedecido o que dispõem os artigos 2º, I e II, e 4º desta Lei, no que couber.</w:t>
      </w:r>
    </w:p>
    <w:p w:rsidR="00756AA3" w:rsidRPr="00EC423A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7"/>
        <w:jc w:val="both"/>
        <w:rPr>
          <w:rFonts w:eastAsia="Calibri"/>
          <w:lang w:eastAsia="en-US"/>
        </w:rPr>
      </w:pPr>
      <w:r w:rsidRPr="00756AA3">
        <w:rPr>
          <w:rFonts w:eastAsia="Calibri"/>
          <w:lang w:eastAsia="en-US"/>
        </w:rPr>
        <w:t xml:space="preserve">Art. 11. O Tribunal de Contas regulamentará o Programa de Aposentadoria Incentivada </w:t>
      </w:r>
      <w:r>
        <w:rPr>
          <w:rFonts w:eastAsia="Calibri"/>
          <w:lang w:eastAsia="en-US"/>
        </w:rPr>
        <w:t>-</w:t>
      </w:r>
      <w:r w:rsidRPr="00756AA3">
        <w:rPr>
          <w:rFonts w:eastAsia="Calibri"/>
          <w:lang w:eastAsia="en-US"/>
        </w:rPr>
        <w:t xml:space="preserve"> PAI e o Programa de Desligamento Voluntário </w:t>
      </w:r>
      <w:r>
        <w:rPr>
          <w:rFonts w:eastAsia="Calibri"/>
          <w:lang w:eastAsia="en-US"/>
        </w:rPr>
        <w:t>-</w:t>
      </w:r>
      <w:r w:rsidRPr="00756AA3">
        <w:rPr>
          <w:rFonts w:eastAsia="Calibri"/>
          <w:lang w:eastAsia="en-US"/>
        </w:rPr>
        <w:t xml:space="preserve"> PDV em até 90 (noventa) dias após a publicação desta Lei.</w:t>
      </w:r>
    </w:p>
    <w:p w:rsidR="00756AA3" w:rsidRPr="00EC423A" w:rsidRDefault="00756AA3" w:rsidP="00756AA3">
      <w:pPr>
        <w:ind w:firstLine="567"/>
        <w:jc w:val="both"/>
        <w:rPr>
          <w:rFonts w:eastAsia="Calibri"/>
          <w:sz w:val="20"/>
          <w:lang w:eastAsia="en-US"/>
        </w:rPr>
      </w:pPr>
    </w:p>
    <w:p w:rsidR="00756AA3" w:rsidRPr="00756AA3" w:rsidRDefault="00756AA3" w:rsidP="00756AA3">
      <w:pPr>
        <w:ind w:firstLine="561"/>
        <w:jc w:val="both"/>
      </w:pPr>
      <w:r w:rsidRPr="00756AA3">
        <w:rPr>
          <w:rFonts w:eastAsia="Calibri"/>
          <w:lang w:eastAsia="en-US"/>
        </w:rPr>
        <w:t>Art. 12. Esta Lei entra em vigor na data de sua publicação</w:t>
      </w:r>
      <w:r w:rsidRPr="00756AA3">
        <w:t>.</w:t>
      </w:r>
    </w:p>
    <w:p w:rsidR="00756AA3" w:rsidRPr="00EC423A" w:rsidRDefault="00756AA3" w:rsidP="00756AA3">
      <w:pPr>
        <w:ind w:firstLine="561"/>
        <w:jc w:val="both"/>
        <w:rPr>
          <w:sz w:val="20"/>
        </w:rPr>
      </w:pPr>
    </w:p>
    <w:p w:rsidR="00756AA3" w:rsidRPr="00756AA3" w:rsidRDefault="00756AA3" w:rsidP="00756AA3">
      <w:pPr>
        <w:ind w:firstLine="561"/>
        <w:jc w:val="both"/>
      </w:pPr>
      <w:r w:rsidRPr="00756AA3">
        <w:t>Palácio do Gov</w:t>
      </w:r>
      <w:r w:rsidR="007A7DB7">
        <w:t>erno do Estado de Rondônia, em 20</w:t>
      </w:r>
      <w:r w:rsidRPr="00756AA3">
        <w:t xml:space="preserve"> de junho de 2017, 129º da República.  </w:t>
      </w:r>
    </w:p>
    <w:p w:rsidR="00756AA3" w:rsidRPr="00756AA3" w:rsidRDefault="00756AA3" w:rsidP="00756AA3"/>
    <w:p w:rsidR="00756AA3" w:rsidRPr="00756AA3" w:rsidRDefault="00756AA3" w:rsidP="00756AA3">
      <w:pPr>
        <w:tabs>
          <w:tab w:val="left" w:pos="4365"/>
        </w:tabs>
        <w:jc w:val="center"/>
        <w:rPr>
          <w:b/>
        </w:rPr>
      </w:pPr>
    </w:p>
    <w:p w:rsidR="00756AA3" w:rsidRPr="00756AA3" w:rsidRDefault="00756AA3" w:rsidP="00756AA3">
      <w:pPr>
        <w:tabs>
          <w:tab w:val="left" w:pos="4365"/>
        </w:tabs>
        <w:jc w:val="center"/>
        <w:rPr>
          <w:b/>
        </w:rPr>
      </w:pPr>
      <w:proofErr w:type="gramStart"/>
      <w:r w:rsidRPr="00756AA3">
        <w:rPr>
          <w:b/>
        </w:rPr>
        <w:t>CONFÚCIO AIRES MOURA</w:t>
      </w:r>
      <w:proofErr w:type="gramEnd"/>
    </w:p>
    <w:p w:rsidR="0022323D" w:rsidRPr="00756AA3" w:rsidRDefault="00756AA3" w:rsidP="00EC423A">
      <w:pPr>
        <w:tabs>
          <w:tab w:val="left" w:pos="4365"/>
        </w:tabs>
        <w:jc w:val="center"/>
      </w:pPr>
      <w:r w:rsidRPr="00756AA3">
        <w:t>Governador</w:t>
      </w:r>
    </w:p>
    <w:sectPr w:rsidR="0022323D" w:rsidRPr="00756AA3" w:rsidSect="00D75F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567" w:left="1134" w:header="567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F0" w:rsidRDefault="007A7DB7">
      <w:r>
        <w:separator/>
      </w:r>
    </w:p>
  </w:endnote>
  <w:endnote w:type="continuationSeparator" w:id="0">
    <w:p w:rsidR="00822CF0" w:rsidRDefault="007A7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E42A8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E81" w:rsidRDefault="00E42A81">
    <w:pPr>
      <w:pStyle w:val="Rodap"/>
      <w:jc w:val="center"/>
    </w:pPr>
  </w:p>
  <w:p w:rsidR="00150E81" w:rsidRDefault="00E42A8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E42A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F0" w:rsidRDefault="007A7DB7">
      <w:r>
        <w:separator/>
      </w:r>
    </w:p>
  </w:footnote>
  <w:footnote w:type="continuationSeparator" w:id="0">
    <w:p w:rsidR="00822CF0" w:rsidRDefault="007A7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E42A8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A06" w:rsidRDefault="00FD355D" w:rsidP="0071003B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59462224" r:id="rId2"/>
      </w:object>
    </w:r>
  </w:p>
  <w:p w:rsidR="00955A06" w:rsidRPr="004B5FB8" w:rsidRDefault="00FD355D" w:rsidP="00955A06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955A06" w:rsidRDefault="00FD355D" w:rsidP="00955A06">
    <w:pPr>
      <w:pStyle w:val="Cabealho"/>
      <w:jc w:val="center"/>
      <w:rPr>
        <w:b/>
      </w:rPr>
    </w:pPr>
    <w:r w:rsidRPr="004B5FB8">
      <w:rPr>
        <w:b/>
      </w:rPr>
      <w:t>GOVERNADORIA</w:t>
    </w:r>
  </w:p>
  <w:p w:rsidR="00955A06" w:rsidRPr="00955A06" w:rsidRDefault="00E42A81" w:rsidP="00955A06">
    <w:pPr>
      <w:pStyle w:val="Cabealho"/>
      <w:jc w:val="center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0C7" w:rsidRDefault="00E42A8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A3"/>
    <w:rsid w:val="0022323D"/>
    <w:rsid w:val="006D03D4"/>
    <w:rsid w:val="00756AA3"/>
    <w:rsid w:val="007A7DB7"/>
    <w:rsid w:val="00822CF0"/>
    <w:rsid w:val="00B75064"/>
    <w:rsid w:val="00E42A81"/>
    <w:rsid w:val="00EC423A"/>
    <w:rsid w:val="00FD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56AA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56AA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56AA3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56AA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56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56AA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756AA3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56AA3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756AA3"/>
    <w:pPr>
      <w:suppressLineNumbers/>
      <w:tabs>
        <w:tab w:val="center" w:pos="4252"/>
        <w:tab w:val="right" w:pos="8504"/>
      </w:tabs>
      <w:suppressAutoHyphens/>
      <w:spacing w:line="100" w:lineRule="atLeast"/>
    </w:pPr>
    <w:rPr>
      <w:kern w:val="1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756AA3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756A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A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756AA3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DITEL</dc:creator>
  <cp:lastModifiedBy>SANTY</cp:lastModifiedBy>
  <cp:revision>7</cp:revision>
  <dcterms:created xsi:type="dcterms:W3CDTF">2017-06-16T12:40:00Z</dcterms:created>
  <dcterms:modified xsi:type="dcterms:W3CDTF">2017-06-20T15:10:00Z</dcterms:modified>
</cp:coreProperties>
</file>