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FB0BFD">
        <w:rPr>
          <w:sz w:val="24"/>
          <w:szCs w:val="24"/>
        </w:rPr>
        <w:t xml:space="preserve"> 3.555</w:t>
      </w:r>
      <w:r w:rsidR="00DA36E6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FB0BFD">
        <w:rPr>
          <w:sz w:val="24"/>
          <w:szCs w:val="24"/>
        </w:rPr>
        <w:t xml:space="preserve"> 14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MAIO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Pr="00391B67" w:rsidRDefault="00391B67" w:rsidP="00391B67"/>
    <w:p w:rsidR="00F16D46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FB3C87" w:rsidRPr="008D2894" w:rsidRDefault="00297921" w:rsidP="000A3566">
      <w:pPr>
        <w:ind w:left="5103"/>
        <w:jc w:val="both"/>
        <w:rPr>
          <w:color w:val="000000"/>
        </w:rPr>
      </w:pPr>
      <w:r w:rsidRPr="002B6540">
        <w:t>Autoriza o Poder Executivo a abrir crédito suplementar por anulação até o montante de R$ 11.352.633,29, em favor das Unidades Orçamentárias: Tribunal de Contas do Estado - TC, Superintendência Estadual de Administração e Recursos Humanos-SEARH, Secretaria de Estado de Finanças - SEFIN, Departamento de Obras e Serviços Públicos - DEOSP, Fundo Estadual de Saúde - FES e Defensoria Pública do Estado de Rondônia - DPE.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97921" w:rsidRPr="002B6540" w:rsidRDefault="00297921" w:rsidP="00297921">
      <w:pPr>
        <w:ind w:firstLine="567"/>
        <w:jc w:val="both"/>
      </w:pPr>
      <w:r w:rsidRPr="002B6540">
        <w:t xml:space="preserve">Art. 1º. Fica o Poder Executivo autorizado a abrir crédito suplementar por anulação para dar cobertura orçamentária às despesas corrente e de capital no presente exercício, até o montante de R$ 11.352.633,29 (onze milhões, trezentos e cinquenta e dois mil, seiscentos e trinta e três reais e vinte e nove centavos), em favor das Unidades Orçamentárias: Tribunal de Contas do Estado - TC, Superintendência Estadual de Administração e Recursos Humanos - SEARH, Secretaria de Estado de Finanças - SEFIN, Departamento de Obras e Serviços Públicos - DEOSP, Fundo Estadual de Saúde - FES e Defensoria Pública do Estado de Rondônia - DPE. </w:t>
      </w:r>
    </w:p>
    <w:p w:rsidR="00297921" w:rsidRPr="002B6540" w:rsidRDefault="00297921" w:rsidP="00297921">
      <w:pPr>
        <w:jc w:val="both"/>
      </w:pPr>
    </w:p>
    <w:p w:rsidR="00297921" w:rsidRPr="002B6540" w:rsidRDefault="00297921" w:rsidP="00297921">
      <w:pPr>
        <w:ind w:firstLine="567"/>
        <w:jc w:val="both"/>
      </w:pPr>
      <w:r w:rsidRPr="002B6540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297921" w:rsidRPr="002B6540" w:rsidRDefault="00297921" w:rsidP="00297921">
      <w:pPr>
        <w:jc w:val="both"/>
      </w:pPr>
    </w:p>
    <w:p w:rsidR="00550516" w:rsidRPr="00B31488" w:rsidRDefault="00297921" w:rsidP="00297921">
      <w:pPr>
        <w:ind w:firstLine="567"/>
        <w:jc w:val="both"/>
      </w:pPr>
      <w:r w:rsidRPr="002B6540"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A36E6">
        <w:t xml:space="preserve"> </w:t>
      </w:r>
      <w:r w:rsidR="007208C3">
        <w:t xml:space="preserve">14 </w:t>
      </w:r>
      <w:bookmarkStart w:id="0" w:name="_GoBack"/>
      <w:bookmarkEnd w:id="0"/>
      <w:r w:rsidRPr="0046356F">
        <w:t>de</w:t>
      </w:r>
      <w:r w:rsidR="00DA36E6">
        <w:t xml:space="preserve"> 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CB1800" w:rsidRDefault="00CB1800" w:rsidP="00F843B3">
      <w:pPr>
        <w:jc w:val="both"/>
      </w:pPr>
    </w:p>
    <w:p w:rsidR="00297921" w:rsidRPr="00A96C47" w:rsidRDefault="00297921" w:rsidP="00297921">
      <w:pPr>
        <w:ind w:hanging="170"/>
        <w:jc w:val="center"/>
        <w:rPr>
          <w:b/>
          <w:bCs/>
        </w:rPr>
      </w:pPr>
      <w:r w:rsidRPr="00A96C47">
        <w:rPr>
          <w:b/>
          <w:bCs/>
        </w:rPr>
        <w:t>ANEXO I</w:t>
      </w:r>
    </w:p>
    <w:p w:rsidR="00297921" w:rsidRDefault="00297921" w:rsidP="00297921">
      <w:pPr>
        <w:ind w:hanging="170"/>
        <w:jc w:val="both"/>
        <w:rPr>
          <w:b/>
          <w:bCs/>
          <w:sz w:val="18"/>
          <w:szCs w:val="18"/>
        </w:rPr>
      </w:pPr>
    </w:p>
    <w:p w:rsidR="00297921" w:rsidRDefault="00297921" w:rsidP="00297921">
      <w:pPr>
        <w:ind w:left="-567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                                                                                                                REDUZ </w:t>
      </w:r>
    </w:p>
    <w:tbl>
      <w:tblPr>
        <w:tblW w:w="10054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85"/>
      </w:tblGrid>
      <w:tr w:rsidR="00297921" w:rsidTr="00655FD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97921" w:rsidRDefault="00297921" w:rsidP="00297921">
      <w:pPr>
        <w:jc w:val="both"/>
        <w:rPr>
          <w:vanish/>
        </w:rPr>
      </w:pPr>
    </w:p>
    <w:tbl>
      <w:tblPr>
        <w:tblW w:w="10029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54"/>
        <w:gridCol w:w="1691"/>
      </w:tblGrid>
      <w:tr w:rsidR="00297921" w:rsidTr="00655FD3">
        <w:trPr>
          <w:tblCellSpacing w:w="0" w:type="dxa"/>
          <w:hidden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vanish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1.070.000,00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PREVIDENCIÁRIO DO IPERON - FUNPRERO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547.633,29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13.011.09.272.1019.2854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DE APOSENTADORIA E PENSÕES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547.633,29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 ESPORTE, DA CULTURA E DO LAZER - SECEL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16.004.27.812.1216.4025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DE BASE DOUTOR ARY PINHEIRO - HB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17.002.10.122.1015.2087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17.002.10.302.2034.4009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REGIONAL DE CACOAL - HPCACOAL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17.003.10.122.1015.2087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17.003.10.302.2034.4009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17.032.10.301.2032.4003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EXPANDIR A HEMORREDE DE RONDÔNIA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235.000,00</w:t>
            </w:r>
          </w:p>
        </w:tc>
      </w:tr>
      <w:tr w:rsidR="00297921" w:rsidTr="00655FD3">
        <w:trPr>
          <w:tblCellSpacing w:w="0" w:type="dxa"/>
        </w:trPr>
        <w:tc>
          <w:tcPr>
            <w:tcW w:w="8338" w:type="dxa"/>
            <w:gridSpan w:val="4"/>
            <w:vAlign w:val="center"/>
            <w:hideMark/>
          </w:tcPr>
          <w:p w:rsidR="00297921" w:rsidRDefault="00297921" w:rsidP="00655F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R$ 11.352.633,29</w:t>
            </w:r>
          </w:p>
        </w:tc>
      </w:tr>
    </w:tbl>
    <w:p w:rsidR="00297921" w:rsidRDefault="00297921" w:rsidP="00297921">
      <w:pPr>
        <w:spacing w:after="240"/>
        <w:jc w:val="center"/>
        <w:rPr>
          <w:b/>
          <w:bCs/>
        </w:rPr>
      </w:pPr>
    </w:p>
    <w:p w:rsidR="00297921" w:rsidRDefault="00297921" w:rsidP="00297921">
      <w:pPr>
        <w:spacing w:after="240"/>
        <w:jc w:val="center"/>
        <w:rPr>
          <w:b/>
          <w:bCs/>
        </w:rPr>
      </w:pPr>
    </w:p>
    <w:p w:rsidR="00297921" w:rsidRDefault="00297921" w:rsidP="00297921">
      <w:pPr>
        <w:spacing w:after="240"/>
        <w:jc w:val="center"/>
        <w:rPr>
          <w:b/>
          <w:bCs/>
        </w:rPr>
      </w:pPr>
    </w:p>
    <w:p w:rsidR="00297921" w:rsidRDefault="00297921" w:rsidP="00297921">
      <w:pPr>
        <w:spacing w:after="240"/>
        <w:jc w:val="center"/>
        <w:rPr>
          <w:b/>
          <w:bCs/>
        </w:rPr>
      </w:pPr>
      <w:r w:rsidRPr="00A96C47">
        <w:rPr>
          <w:b/>
          <w:bCs/>
        </w:rPr>
        <w:lastRenderedPageBreak/>
        <w:t>ANEXO II</w:t>
      </w:r>
    </w:p>
    <w:p w:rsidR="00297921" w:rsidRDefault="00297921" w:rsidP="00297921">
      <w:pPr>
        <w:ind w:left="-567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                                                                                                     SUPLEMENTA </w:t>
      </w:r>
    </w:p>
    <w:tbl>
      <w:tblPr>
        <w:tblW w:w="10054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85"/>
      </w:tblGrid>
      <w:tr w:rsidR="00297921" w:rsidTr="00655FD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21" w:rsidRDefault="00297921" w:rsidP="0065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97921" w:rsidRDefault="00297921" w:rsidP="00297921">
      <w:pPr>
        <w:jc w:val="both"/>
        <w:rPr>
          <w:vanish/>
        </w:rPr>
      </w:pPr>
    </w:p>
    <w:tbl>
      <w:tblPr>
        <w:tblW w:w="10029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54"/>
        <w:gridCol w:w="1691"/>
      </w:tblGrid>
      <w:tr w:rsidR="00297921" w:rsidTr="00655FD3">
        <w:trPr>
          <w:tblCellSpacing w:w="0" w:type="dxa"/>
          <w:hidden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vanish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CONTAS DO ESTADO - TC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547.633,29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02.001.09.272.1019.2854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DE APOSENTADORIA E PENSÕES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547.633,29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ADMINISTRAÇÃO E RECURSOS HUMANOS - SEARH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13.006.04.122.1015.2087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14.021.04.122.1015.2087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6.000.000,00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928.176,30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17.012.10.122.1015.2234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1.994.563,44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334.000,26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17.012.10.302.2034.4010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EM OUTRAS UNIDADES HOSPITALARES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1.393.260,00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17.012.10.303.1093.4008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NO ESTADO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297921" w:rsidTr="00655FD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30.001.03.422.2045.2109</w:t>
            </w:r>
          </w:p>
        </w:tc>
        <w:tc>
          <w:tcPr>
            <w:tcW w:w="4198" w:type="dxa"/>
            <w:vAlign w:val="center"/>
            <w:hideMark/>
          </w:tcPr>
          <w:p w:rsidR="00297921" w:rsidRDefault="00297921" w:rsidP="0065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MEMBROS ATIVOS E ENCARGOS SOCIAIS DA DEFENSORIA PÚBLICA</w:t>
            </w:r>
          </w:p>
        </w:tc>
        <w:tc>
          <w:tcPr>
            <w:tcW w:w="1050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554" w:type="dxa"/>
            <w:vAlign w:val="center"/>
            <w:hideMark/>
          </w:tcPr>
          <w:p w:rsidR="00297921" w:rsidRDefault="00297921" w:rsidP="0065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297921" w:rsidTr="00655FD3">
        <w:trPr>
          <w:tblCellSpacing w:w="0" w:type="dxa"/>
        </w:trPr>
        <w:tc>
          <w:tcPr>
            <w:tcW w:w="8338" w:type="dxa"/>
            <w:gridSpan w:val="4"/>
            <w:vAlign w:val="center"/>
            <w:hideMark/>
          </w:tcPr>
          <w:p w:rsidR="00297921" w:rsidRDefault="00297921" w:rsidP="00655F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97921" w:rsidRDefault="00297921" w:rsidP="00655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R$ 11.352.633,29</w:t>
            </w:r>
          </w:p>
        </w:tc>
      </w:tr>
    </w:tbl>
    <w:p w:rsidR="00297921" w:rsidRDefault="00297921" w:rsidP="00297921"/>
    <w:p w:rsidR="00297921" w:rsidRDefault="00297921" w:rsidP="00297921"/>
    <w:p w:rsidR="00CB1800" w:rsidRDefault="00CB1800" w:rsidP="00297921">
      <w:pPr>
        <w:jc w:val="both"/>
      </w:pPr>
    </w:p>
    <w:sectPr w:rsidR="00CB1800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1F" w:rsidRDefault="0044611F">
      <w:r>
        <w:separator/>
      </w:r>
    </w:p>
  </w:endnote>
  <w:endnote w:type="continuationSeparator" w:id="0">
    <w:p w:rsidR="0044611F" w:rsidRDefault="0044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208C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1F" w:rsidRDefault="0044611F">
      <w:r>
        <w:separator/>
      </w:r>
    </w:p>
  </w:footnote>
  <w:footnote w:type="continuationSeparator" w:id="0">
    <w:p w:rsidR="0044611F" w:rsidRDefault="0044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310079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3566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7921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11F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08C3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E5478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1800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0BFD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EFFE-E187-4B95-8A69-57EC041B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10</cp:revision>
  <cp:lastPrinted>2015-05-14T11:51:00Z</cp:lastPrinted>
  <dcterms:created xsi:type="dcterms:W3CDTF">2015-05-07T11:55:00Z</dcterms:created>
  <dcterms:modified xsi:type="dcterms:W3CDTF">2015-05-14T13:27:00Z</dcterms:modified>
</cp:coreProperties>
</file>