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61341">
        <w:rPr>
          <w:sz w:val="24"/>
          <w:szCs w:val="24"/>
        </w:rPr>
        <w:t xml:space="preserve"> 3.546,</w:t>
      </w:r>
      <w:r w:rsidRPr="00137501">
        <w:rPr>
          <w:sz w:val="24"/>
          <w:szCs w:val="24"/>
        </w:rPr>
        <w:t xml:space="preserve"> DE</w:t>
      </w:r>
      <w:r w:rsidR="00D61341">
        <w:rPr>
          <w:sz w:val="24"/>
          <w:szCs w:val="24"/>
        </w:rPr>
        <w:t xml:space="preserve"> </w:t>
      </w:r>
      <w:proofErr w:type="gramStart"/>
      <w:r w:rsidR="00D61341">
        <w:rPr>
          <w:sz w:val="24"/>
          <w:szCs w:val="24"/>
        </w:rPr>
        <w:t>5</w:t>
      </w:r>
      <w:proofErr w:type="gramEnd"/>
      <w:r w:rsidR="00D61341">
        <w:rPr>
          <w:sz w:val="24"/>
          <w:szCs w:val="24"/>
        </w:rPr>
        <w:t xml:space="preserve"> </w:t>
      </w:r>
      <w:r w:rsidRPr="00137501">
        <w:rPr>
          <w:sz w:val="24"/>
          <w:szCs w:val="24"/>
        </w:rPr>
        <w:t>DE</w:t>
      </w:r>
      <w:r w:rsidR="00B847D5">
        <w:rPr>
          <w:sz w:val="24"/>
          <w:szCs w:val="24"/>
        </w:rPr>
        <w:t xml:space="preserve"> MAIO </w:t>
      </w:r>
      <w:r w:rsidRPr="00137501">
        <w:rPr>
          <w:sz w:val="24"/>
          <w:szCs w:val="24"/>
        </w:rPr>
        <w:t>DE 201</w:t>
      </w:r>
      <w:r w:rsidR="00B40BD3">
        <w:rPr>
          <w:sz w:val="24"/>
          <w:szCs w:val="24"/>
        </w:rPr>
        <w:t>5</w:t>
      </w:r>
      <w:r w:rsidRPr="00137501">
        <w:rPr>
          <w:sz w:val="24"/>
          <w:szCs w:val="24"/>
        </w:rPr>
        <w:t>.</w:t>
      </w:r>
    </w:p>
    <w:p w:rsidR="0077689F" w:rsidRDefault="0077689F" w:rsidP="0077689F">
      <w:pPr>
        <w:jc w:val="center"/>
        <w:rPr>
          <w:i/>
        </w:rPr>
      </w:pPr>
    </w:p>
    <w:p w:rsidR="0077689F" w:rsidRDefault="0077689F" w:rsidP="0077689F">
      <w:pPr>
        <w:ind w:left="5103"/>
        <w:jc w:val="center"/>
        <w:rPr>
          <w:i/>
        </w:rPr>
      </w:pPr>
    </w:p>
    <w:p w:rsidR="00BD50CF" w:rsidRPr="00B40BD3" w:rsidRDefault="00B40BD3" w:rsidP="00B40BD3">
      <w:pPr>
        <w:suppressAutoHyphens/>
        <w:ind w:left="4820"/>
        <w:jc w:val="both"/>
        <w:rPr>
          <w:color w:val="000000"/>
        </w:rPr>
      </w:pPr>
      <w:bookmarkStart w:id="0" w:name="_GoBack"/>
      <w:r w:rsidRPr="00DF5C89">
        <w:t>Autoriza o Poder Executivo a proceder à contratação de professores, para atender à necessidade temporária de excepcional in</w:t>
      </w:r>
      <w:r>
        <w:t>teresse público</w:t>
      </w:r>
      <w:r w:rsidR="00BD50CF" w:rsidRPr="00BD50CF">
        <w:t>.</w:t>
      </w:r>
    </w:p>
    <w:bookmarkEnd w:id="0"/>
    <w:p w:rsidR="00904017" w:rsidRDefault="00904017" w:rsidP="00E211D6">
      <w:pPr>
        <w:ind w:left="5103"/>
        <w:jc w:val="both"/>
      </w:pPr>
    </w:p>
    <w:p w:rsidR="00875337" w:rsidRDefault="00875337"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B40BD3" w:rsidRPr="00DF5C89" w:rsidRDefault="00B40BD3" w:rsidP="00B40BD3">
      <w:pPr>
        <w:suppressAutoHyphens/>
        <w:ind w:firstLine="567"/>
        <w:jc w:val="both"/>
      </w:pPr>
      <w:r w:rsidRPr="00DF5C89">
        <w:t xml:space="preserve">Art. 1º. Fica o Poder Executivo autorizado a contratar 398 (trezentos e noventa e oito) Professores Classe C, conforme o quantitativo previsto de 281 (duzentos e oitenta e um) com carga horária de 40 (quarenta) horas e 117 (cento e dezessete) com carga horária de 20 (vinte) horas, para atender à necessidade temporária de excepcional interesse público, pelo prazo determinado de </w:t>
      </w:r>
      <w:proofErr w:type="gramStart"/>
      <w:r w:rsidRPr="00DF5C89">
        <w:t>1</w:t>
      </w:r>
      <w:proofErr w:type="gramEnd"/>
      <w:r w:rsidRPr="00DF5C89">
        <w:t xml:space="preserve"> (um) ano, prorrogável por igual período, de acordo com o quantitativo previsto no Anexo I (quadro de vagas) desta Lei, podendo haver ampliação até o limite imposto pelo parágrafo único, do artigo 5º, da Lei nº 1.184, de 27 de março de 2003.</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 1º. Para não haver descontinuidade dos serviços educacionais, será permitida a contratação temporária, desde que devidamente justificada, sendo impossível prover a vaga com servidor efetivo pela Secretaria de Estado da Educação, de Professores em caráter urgentíssimo, por meio de Processo </w:t>
      </w:r>
      <w:proofErr w:type="gramStart"/>
      <w:r w:rsidRPr="00DF5C89">
        <w:t>Seletivo</w:t>
      </w:r>
      <w:proofErr w:type="gramEnd"/>
      <w:r w:rsidRPr="00DF5C89">
        <w:t xml:space="preserve"> Simplificado de candidatos.</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2º. Os Cargos autorizados por esta Lei só serão ocupados diante da estrita necessidade de dar continuidade aos serviços educacionais, vedada lotação alheia à efetiva docência, supervisão e orientação.</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Art. 2º. O quantitativo de vagas a que se refere o Anexo I desta Lei deverá ser preenchido por professores contratados por área de atuação, habilitação e localidade, sob competência das respectivas Coordenadorias Regionais de Educação, conforme Quadro de </w:t>
      </w:r>
      <w:proofErr w:type="gramStart"/>
      <w:r w:rsidRPr="00DF5C89">
        <w:t>Vagas previsto em Edital</w:t>
      </w:r>
      <w:proofErr w:type="gramEnd"/>
      <w:r w:rsidRPr="00DF5C89">
        <w:t>.</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1º. O quadro de vagas poderá sofrer remanejamento de habilitações, desde que justificada a cessação da necessidade de determinada habilitação e surgidas novas necessidades em habilitações diferentes no âmbito da mesma Coordenadoria Regional de Educação - CRE.</w:t>
      </w:r>
    </w:p>
    <w:p w:rsidR="00B40BD3" w:rsidRDefault="00B40BD3" w:rsidP="00B40BD3">
      <w:pPr>
        <w:suppressAutoHyphens/>
        <w:ind w:firstLine="567"/>
        <w:jc w:val="both"/>
      </w:pPr>
    </w:p>
    <w:p w:rsidR="00B40BD3" w:rsidRPr="00DF5C89" w:rsidRDefault="00B40BD3" w:rsidP="00B40BD3">
      <w:pPr>
        <w:suppressAutoHyphens/>
        <w:ind w:firstLine="567"/>
        <w:jc w:val="both"/>
      </w:pPr>
      <w:r w:rsidRPr="00DF5C89">
        <w:t>§ 2º. Poderá a Administração promover o remanejamento justificado de candidatos devidamente aprovados no Processo Seletivo Simplificado de uma localidade para outra, desde que na localidade de lotação não haja servidor efetivo para suprir a necessidade ou não haja candidato aprovado no Processo Seletivo para aquela localidade, devendo haver, necessariamente, a plena concordância do candidato.</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3º. O quadro geral de vagas poderá sofrer remanejamento dessas, de uma Coordenadoria Regional de Educação para outra, desde que cessada a necessidade na vaga de origem e surgida nova necessidade no âmbito de outra Coordenadoria Regional de Educação, com as devidas justificativas.</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4º.  As vagas surgidas em decorrência de candidatos desistentes ou demissionários deverão, imediatamente, ser providas com os próximos candidatos aprovados para a referida disciplina ou localidade, desde que permaneça a necessidade.</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lastRenderedPageBreak/>
        <w:t xml:space="preserve">§ 5º. Nos casos em que não houver candidatos aprovados, a vaga poderá ser remanejada para outra disciplina na mesma localidade ou para outra localidade, desde que comprovada </w:t>
      </w:r>
      <w:proofErr w:type="gramStart"/>
      <w:r w:rsidRPr="00DF5C89">
        <w:t>a</w:t>
      </w:r>
      <w:proofErr w:type="gramEnd"/>
      <w:r w:rsidRPr="00DF5C89">
        <w:t xml:space="preserve"> necessidade e que não ultrapasse o total de vagas autorizado por esta Lei.  </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Art. 3º. Na inexistência de candidatos inscritos, habilitados em curso superior de licenciatura plena, fica a Administração autorizada à contratação emergencial de candidatos com formação de professor nível médio completo, bacharelados e tecnólogos a partir do 2º período, com remuneração compatível de Professor Classe A, para atuar nos anos iniciais do Ensino Fundamental, ou habilitado em curso superior de Licenciatura Curta, na qualidade de Professor Classe B, para atuar no segundo segmento do Ensino Fundamental, ou, ainda, do profissional graduado em curso superior de bacharelado em áreas afins à disciplina ministrada, denominado Professor Classe C, para atuar no Ensino Fundamental e Médio. </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Art. 4º. O exercício das atividades docentes, para as quais se contratam os Professores em caráter emergencial, iniciar-se-á, imediatamente, após a assinatura do contrato.</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Art. 5º. A contratação de professores emergenciais autorizados, bem como os direitos e obrigações decorrentes dos contratos celebrados com fundamento nesta Lei, serão regidos </w:t>
      </w:r>
      <w:r w:rsidRPr="00DF5C89">
        <w:rPr>
          <w:i/>
        </w:rPr>
        <w:t xml:space="preserve">in </w:t>
      </w:r>
      <w:proofErr w:type="spellStart"/>
      <w:r w:rsidRPr="00DF5C89">
        <w:rPr>
          <w:i/>
        </w:rPr>
        <w:t>totum</w:t>
      </w:r>
      <w:proofErr w:type="spellEnd"/>
      <w:r w:rsidRPr="00DF5C89">
        <w:t xml:space="preserve"> pelas normas contidas na Lei nº 1.184, de 27 de março de 2003.</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Parágrafo único. Os vencimentos dos Professores contratados por força do presente dispositivo legal estão previstos no Anexo II (Quadro Demonstrativo dos Valores de Vencimentos Básicos) desta Lei, com base na Lei Complementar nº 680, de </w:t>
      </w:r>
      <w:proofErr w:type="gramStart"/>
      <w:r w:rsidRPr="00DF5C89">
        <w:t>7</w:t>
      </w:r>
      <w:proofErr w:type="gramEnd"/>
      <w:r w:rsidRPr="00DF5C89">
        <w:t xml:space="preserve"> de setembro de 2012, e com valores atualizados.</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Art. 6º. Fica o Poder Executivo autorizado a contratar até 20% (vinte por cento) das vagas solicitadas dentro da necessidade conforme disponibilidade financeira e orçamentária no período de vigência da autorização prevista nesta Lei para onde houver necessidade, independente de local.</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Art. 7º. As despesas decorrentes da execução desta Lei correrão por conta de dotações orçamentárias próprias previstas na Secretaria de Estado da Educação - SEDUC, ouvidas a Secretaria de Estado de Planejamento - SEPOG, Secretaria de Estado de Finanças - SEFIN e Secretaria de Estado da Administração - SEARH. </w:t>
      </w:r>
    </w:p>
    <w:p w:rsidR="00B40BD3" w:rsidRPr="00DF5C89" w:rsidRDefault="00B40BD3" w:rsidP="00B40BD3">
      <w:pPr>
        <w:suppressAutoHyphens/>
        <w:ind w:firstLine="567"/>
        <w:jc w:val="both"/>
      </w:pPr>
    </w:p>
    <w:p w:rsidR="00B40BD3" w:rsidRPr="00DF5C89" w:rsidRDefault="00B40BD3" w:rsidP="00B40BD3">
      <w:pPr>
        <w:suppressAutoHyphens/>
        <w:ind w:firstLine="567"/>
        <w:jc w:val="both"/>
      </w:pPr>
      <w:r w:rsidRPr="00DF5C89">
        <w:t xml:space="preserve">Art. 8º. Esta Lei entra em vigor na data de sua publicação. </w:t>
      </w:r>
    </w:p>
    <w:p w:rsidR="00875337" w:rsidRPr="004E048C" w:rsidRDefault="00875337" w:rsidP="00BD50CF">
      <w:pPr>
        <w:ind w:firstLine="567"/>
        <w:jc w:val="both"/>
      </w:pPr>
    </w:p>
    <w:p w:rsidR="00137501" w:rsidRPr="0046356F" w:rsidRDefault="00137501" w:rsidP="00AA0602">
      <w:pPr>
        <w:ind w:firstLine="567"/>
        <w:jc w:val="both"/>
      </w:pPr>
      <w:r w:rsidRPr="0046356F">
        <w:t>Palácio do Governo do Estado de Rondônia, em</w:t>
      </w:r>
      <w:r w:rsidR="00D61341">
        <w:t xml:space="preserve"> </w:t>
      </w:r>
      <w:proofErr w:type="gramStart"/>
      <w:r w:rsidR="00D61341">
        <w:t>5</w:t>
      </w:r>
      <w:proofErr w:type="gramEnd"/>
      <w:r w:rsidR="00D61341">
        <w:t xml:space="preserve"> </w:t>
      </w:r>
      <w:r w:rsidRPr="0046356F">
        <w:t>de</w:t>
      </w:r>
      <w:r w:rsidR="00EC58D0">
        <w:t xml:space="preserve"> </w:t>
      </w:r>
      <w:r w:rsidR="00B847D5">
        <w:t xml:space="preserve">maio </w:t>
      </w:r>
      <w:r w:rsidRPr="0046356F">
        <w:t>de 201</w:t>
      </w:r>
      <w:r w:rsidR="00B40BD3">
        <w:t>5</w:t>
      </w:r>
      <w:r w:rsidRPr="0046356F">
        <w:t>, 12</w:t>
      </w:r>
      <w:r w:rsidR="00B40BD3">
        <w:t>7</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364E6" w:rsidRDefault="00C364E6" w:rsidP="00217C87">
      <w:pPr>
        <w:ind w:firstLine="600"/>
        <w:jc w:val="both"/>
      </w:pPr>
    </w:p>
    <w:p w:rsidR="00C364E6" w:rsidRDefault="00C364E6" w:rsidP="00217C87">
      <w:pPr>
        <w:ind w:firstLine="600"/>
        <w:jc w:val="both"/>
      </w:pPr>
    </w:p>
    <w:p w:rsidR="00875337" w:rsidRDefault="00875337" w:rsidP="00217C87">
      <w:pPr>
        <w:ind w:firstLine="600"/>
        <w:jc w:val="both"/>
      </w:pPr>
    </w:p>
    <w:p w:rsidR="00875337" w:rsidRDefault="00875337" w:rsidP="00217C87">
      <w:pPr>
        <w:ind w:firstLine="600"/>
        <w:jc w:val="both"/>
      </w:pPr>
    </w:p>
    <w:p w:rsidR="00875337" w:rsidRDefault="00875337" w:rsidP="00217C87">
      <w:pPr>
        <w:ind w:firstLine="600"/>
        <w:jc w:val="both"/>
      </w:pPr>
    </w:p>
    <w:p w:rsidR="00B40BD3" w:rsidRPr="00DF5C89" w:rsidRDefault="00B40BD3" w:rsidP="00B40BD3">
      <w:pPr>
        <w:suppressAutoHyphens/>
        <w:ind w:firstLine="567"/>
        <w:jc w:val="center"/>
        <w:rPr>
          <w:b/>
          <w:bCs/>
        </w:rPr>
      </w:pPr>
      <w:r w:rsidRPr="00DF5C89">
        <w:rPr>
          <w:b/>
          <w:bCs/>
        </w:rPr>
        <w:lastRenderedPageBreak/>
        <w:t>ANEXO I</w:t>
      </w:r>
    </w:p>
    <w:p w:rsidR="00B40BD3" w:rsidRPr="00DF5C89" w:rsidRDefault="00B40BD3" w:rsidP="00B40BD3">
      <w:pPr>
        <w:suppressAutoHyphens/>
        <w:ind w:firstLine="567"/>
        <w:jc w:val="center"/>
        <w:rPr>
          <w:b/>
          <w:bCs/>
        </w:rPr>
      </w:pPr>
    </w:p>
    <w:p w:rsidR="00B40BD3" w:rsidRPr="00DF5C89" w:rsidRDefault="00B40BD3" w:rsidP="00B40BD3">
      <w:pPr>
        <w:suppressAutoHyphens/>
        <w:ind w:firstLine="567"/>
        <w:jc w:val="center"/>
        <w:rPr>
          <w:b/>
          <w:bCs/>
        </w:rPr>
      </w:pPr>
      <w:r w:rsidRPr="00DF5C89">
        <w:rPr>
          <w:b/>
          <w:bCs/>
        </w:rPr>
        <w:t>QUANTITATIVO DE VAGAS</w:t>
      </w:r>
    </w:p>
    <w:p w:rsidR="00B40BD3" w:rsidRPr="00DF5C89" w:rsidRDefault="00B40BD3" w:rsidP="00B40BD3">
      <w:pPr>
        <w:suppressAutoHyphens/>
        <w:ind w:firstLine="567"/>
        <w:jc w:val="both"/>
        <w:rPr>
          <w:b/>
          <w:bCs/>
        </w:rPr>
      </w:pPr>
    </w:p>
    <w:tbl>
      <w:tblPr>
        <w:tblW w:w="6751" w:type="dxa"/>
        <w:jc w:val="center"/>
        <w:tblCellMar>
          <w:left w:w="70" w:type="dxa"/>
          <w:right w:w="70" w:type="dxa"/>
        </w:tblCellMar>
        <w:tblLook w:val="04A0" w:firstRow="1" w:lastRow="0" w:firstColumn="1" w:lastColumn="0" w:noHBand="0" w:noVBand="1"/>
      </w:tblPr>
      <w:tblGrid>
        <w:gridCol w:w="4839"/>
        <w:gridCol w:w="866"/>
        <w:gridCol w:w="1046"/>
      </w:tblGrid>
      <w:tr w:rsidR="00B40BD3" w:rsidRPr="00DF5C89" w:rsidTr="00B40BD3">
        <w:trPr>
          <w:trHeight w:val="97"/>
          <w:jc w:val="center"/>
        </w:trPr>
        <w:tc>
          <w:tcPr>
            <w:tcW w:w="67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BD3" w:rsidRPr="00DF5C89" w:rsidRDefault="00B40BD3" w:rsidP="00353FE9">
            <w:pPr>
              <w:suppressAutoHyphens/>
              <w:ind w:firstLine="567"/>
              <w:jc w:val="both"/>
              <w:rPr>
                <w:b/>
                <w:bCs/>
                <w:color w:val="000000"/>
              </w:rPr>
            </w:pPr>
            <w:r w:rsidRPr="00DF5C89">
              <w:rPr>
                <w:b/>
                <w:bCs/>
                <w:color w:val="000000"/>
              </w:rPr>
              <w:t>Quadro de Necessidades Professores</w:t>
            </w:r>
          </w:p>
        </w:tc>
      </w:tr>
      <w:tr w:rsidR="00B40BD3" w:rsidRPr="00DF5C89" w:rsidTr="00B40BD3">
        <w:trPr>
          <w:trHeight w:val="233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Coordenadorias Regionais de Ensino</w:t>
            </w:r>
          </w:p>
        </w:tc>
        <w:tc>
          <w:tcPr>
            <w:tcW w:w="866" w:type="dxa"/>
            <w:tcBorders>
              <w:top w:val="nil"/>
              <w:left w:val="nil"/>
              <w:bottom w:val="single" w:sz="4" w:space="0" w:color="auto"/>
              <w:right w:val="single" w:sz="4" w:space="0" w:color="auto"/>
            </w:tcBorders>
            <w:shd w:val="clear" w:color="auto" w:fill="auto"/>
            <w:noWrap/>
            <w:textDirection w:val="btLr"/>
            <w:vAlign w:val="center"/>
            <w:hideMark/>
          </w:tcPr>
          <w:p w:rsidR="00B40BD3" w:rsidRPr="00B40BD3" w:rsidRDefault="00B40BD3" w:rsidP="00B40BD3">
            <w:pPr>
              <w:suppressAutoHyphens/>
              <w:ind w:firstLine="168"/>
              <w:jc w:val="both"/>
              <w:rPr>
                <w:b/>
                <w:bCs/>
                <w:color w:val="000000"/>
              </w:rPr>
            </w:pPr>
            <w:proofErr w:type="gramStart"/>
            <w:r w:rsidRPr="00B40BD3">
              <w:rPr>
                <w:b/>
                <w:bCs/>
                <w:color w:val="000000"/>
              </w:rPr>
              <w:t>TOTAL 40</w:t>
            </w:r>
            <w:proofErr w:type="gramEnd"/>
            <w:r w:rsidRPr="00B40BD3">
              <w:rPr>
                <w:b/>
                <w:bCs/>
                <w:color w:val="000000"/>
              </w:rPr>
              <w:t xml:space="preserve"> HORAS</w:t>
            </w:r>
          </w:p>
        </w:tc>
        <w:tc>
          <w:tcPr>
            <w:tcW w:w="1046" w:type="dxa"/>
            <w:tcBorders>
              <w:top w:val="nil"/>
              <w:left w:val="nil"/>
              <w:bottom w:val="single" w:sz="4" w:space="0" w:color="auto"/>
              <w:right w:val="single" w:sz="4" w:space="0" w:color="auto"/>
            </w:tcBorders>
            <w:shd w:val="clear" w:color="auto" w:fill="auto"/>
            <w:noWrap/>
            <w:textDirection w:val="btLr"/>
            <w:vAlign w:val="center"/>
            <w:hideMark/>
          </w:tcPr>
          <w:p w:rsidR="00B40BD3" w:rsidRPr="00DF5C89" w:rsidRDefault="00B40BD3" w:rsidP="00B40BD3">
            <w:pPr>
              <w:suppressAutoHyphens/>
              <w:ind w:firstLine="168"/>
              <w:jc w:val="both"/>
              <w:rPr>
                <w:b/>
                <w:bCs/>
                <w:color w:val="000000"/>
              </w:rPr>
            </w:pPr>
            <w:proofErr w:type="gramStart"/>
            <w:r w:rsidRPr="00DF5C89">
              <w:rPr>
                <w:b/>
                <w:bCs/>
                <w:color w:val="000000"/>
              </w:rPr>
              <w:t>TOTAL 20</w:t>
            </w:r>
            <w:proofErr w:type="gramEnd"/>
            <w:r w:rsidRPr="00DF5C89">
              <w:rPr>
                <w:b/>
                <w:bCs/>
                <w:color w:val="000000"/>
              </w:rPr>
              <w:t xml:space="preserve"> HORAS</w:t>
            </w:r>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Ariquemes</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B40BD3" w:rsidRDefault="00B40BD3" w:rsidP="00B40BD3">
            <w:pPr>
              <w:suppressAutoHyphens/>
              <w:ind w:firstLine="27"/>
              <w:jc w:val="center"/>
              <w:rPr>
                <w:b/>
                <w:bCs/>
                <w:color w:val="000000"/>
              </w:rPr>
            </w:pPr>
            <w:r w:rsidRPr="00B40BD3">
              <w:rPr>
                <w:b/>
                <w:bCs/>
                <w:color w:val="000000"/>
              </w:rPr>
              <w:t>13</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9</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Cacoal</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B40BD3" w:rsidRDefault="00B40BD3" w:rsidP="00B40BD3">
            <w:pPr>
              <w:suppressAutoHyphens/>
              <w:ind w:firstLine="27"/>
              <w:jc w:val="center"/>
              <w:rPr>
                <w:b/>
                <w:bCs/>
                <w:color w:val="000000"/>
              </w:rPr>
            </w:pPr>
            <w:r w:rsidRPr="00B40BD3">
              <w:rPr>
                <w:b/>
                <w:bCs/>
                <w:color w:val="000000"/>
              </w:rPr>
              <w:t>18</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6</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Cerejeiras</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B40BD3" w:rsidRDefault="00B40BD3" w:rsidP="00B40BD3">
            <w:pPr>
              <w:suppressAutoHyphens/>
              <w:ind w:firstLine="27"/>
              <w:jc w:val="center"/>
              <w:rPr>
                <w:b/>
                <w:bCs/>
                <w:color w:val="000000"/>
              </w:rPr>
            </w:pPr>
            <w:r w:rsidRPr="00B40BD3">
              <w:rPr>
                <w:b/>
                <w:bCs/>
                <w:color w:val="000000"/>
              </w:rPr>
              <w:t>13</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2</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Extrema</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B40BD3" w:rsidRDefault="00B40BD3" w:rsidP="00B40BD3">
            <w:pPr>
              <w:suppressAutoHyphens/>
              <w:ind w:firstLine="27"/>
              <w:jc w:val="center"/>
              <w:rPr>
                <w:b/>
                <w:bCs/>
                <w:color w:val="000000"/>
              </w:rPr>
            </w:pPr>
            <w:r w:rsidRPr="00B40BD3">
              <w:rPr>
                <w:b/>
                <w:bCs/>
                <w:color w:val="000000"/>
              </w:rPr>
              <w:t>11</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2</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Guajará-Mirim</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B40BD3" w:rsidRDefault="00B40BD3" w:rsidP="00B40BD3">
            <w:pPr>
              <w:suppressAutoHyphens/>
              <w:ind w:firstLine="27"/>
              <w:jc w:val="center"/>
              <w:rPr>
                <w:b/>
                <w:bCs/>
                <w:color w:val="000000"/>
              </w:rPr>
            </w:pPr>
            <w:r w:rsidRPr="00B40BD3">
              <w:rPr>
                <w:b/>
                <w:bCs/>
                <w:color w:val="000000"/>
              </w:rPr>
              <w:t>21</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8</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Jaru</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B40BD3" w:rsidRDefault="00B40BD3" w:rsidP="00B40BD3">
            <w:pPr>
              <w:suppressAutoHyphens/>
              <w:ind w:firstLine="27"/>
              <w:jc w:val="center"/>
              <w:rPr>
                <w:b/>
                <w:bCs/>
                <w:color w:val="000000"/>
              </w:rPr>
            </w:pPr>
            <w:r w:rsidRPr="00B40BD3">
              <w:rPr>
                <w:b/>
                <w:bCs/>
                <w:color w:val="000000"/>
              </w:rPr>
              <w:t>22</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1</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Ji-Paraná</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33</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28</w:t>
            </w:r>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Machadinho do Oeste</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7</w:t>
            </w:r>
            <w:proofErr w:type="gramEnd"/>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2</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Ouro Preto do Oeste</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12</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1</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Pimenta Bueno</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11</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4</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Porto Velho (Capital)</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40</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38</w:t>
            </w:r>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Rolim de Moura</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38</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4</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São Francisco do Guaporé</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19</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7</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CRE de Vilhena</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23</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proofErr w:type="gramStart"/>
            <w:r w:rsidRPr="00DF5C89">
              <w:rPr>
                <w:b/>
                <w:bCs/>
                <w:color w:val="000000"/>
              </w:rPr>
              <w:t>5</w:t>
            </w:r>
            <w:proofErr w:type="gramEnd"/>
          </w:p>
        </w:tc>
      </w:tr>
      <w:tr w:rsidR="00B40BD3" w:rsidRPr="00DF5C89" w:rsidTr="00B40BD3">
        <w:trPr>
          <w:trHeight w:val="402"/>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SUBTOTAL</w:t>
            </w:r>
          </w:p>
        </w:tc>
        <w:tc>
          <w:tcPr>
            <w:tcW w:w="86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281</w:t>
            </w:r>
          </w:p>
        </w:tc>
        <w:tc>
          <w:tcPr>
            <w:tcW w:w="1046" w:type="dxa"/>
            <w:tcBorders>
              <w:top w:val="nil"/>
              <w:left w:val="nil"/>
              <w:bottom w:val="single" w:sz="4" w:space="0" w:color="auto"/>
              <w:right w:val="single" w:sz="4" w:space="0" w:color="auto"/>
            </w:tcBorders>
            <w:shd w:val="clear" w:color="auto" w:fill="auto"/>
            <w:noWrap/>
            <w:vAlign w:val="center"/>
            <w:hideMark/>
          </w:tcPr>
          <w:p w:rsidR="00B40BD3" w:rsidRPr="00DF5C89" w:rsidRDefault="00B40BD3" w:rsidP="00B40BD3">
            <w:pPr>
              <w:suppressAutoHyphens/>
              <w:ind w:firstLine="27"/>
              <w:jc w:val="center"/>
              <w:rPr>
                <w:b/>
                <w:bCs/>
                <w:color w:val="000000"/>
              </w:rPr>
            </w:pPr>
            <w:r w:rsidRPr="00DF5C89">
              <w:rPr>
                <w:b/>
                <w:bCs/>
                <w:color w:val="000000"/>
              </w:rPr>
              <w:t>117</w:t>
            </w:r>
          </w:p>
        </w:tc>
      </w:tr>
      <w:tr w:rsidR="00B40BD3" w:rsidRPr="00DF5C89" w:rsidTr="00B40BD3">
        <w:trPr>
          <w:trHeight w:val="300"/>
          <w:jc w:val="center"/>
        </w:trPr>
        <w:tc>
          <w:tcPr>
            <w:tcW w:w="4839" w:type="dxa"/>
            <w:tcBorders>
              <w:top w:val="nil"/>
              <w:left w:val="single" w:sz="4" w:space="0" w:color="auto"/>
              <w:bottom w:val="single" w:sz="4" w:space="0" w:color="auto"/>
              <w:right w:val="single" w:sz="4" w:space="0" w:color="auto"/>
            </w:tcBorders>
            <w:shd w:val="clear" w:color="auto" w:fill="auto"/>
            <w:vAlign w:val="center"/>
            <w:hideMark/>
          </w:tcPr>
          <w:p w:rsidR="00B40BD3" w:rsidRPr="00DF5C89" w:rsidRDefault="00B40BD3" w:rsidP="00353FE9">
            <w:pPr>
              <w:suppressAutoHyphens/>
              <w:ind w:firstLine="567"/>
              <w:jc w:val="both"/>
              <w:rPr>
                <w:b/>
                <w:bCs/>
                <w:color w:val="000000"/>
              </w:rPr>
            </w:pPr>
            <w:r w:rsidRPr="00DF5C89">
              <w:rPr>
                <w:b/>
                <w:bCs/>
                <w:color w:val="000000"/>
              </w:rPr>
              <w:t>TOTAL GERAL</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0BD3" w:rsidRPr="00DF5C89" w:rsidRDefault="00B40BD3" w:rsidP="00353FE9">
            <w:pPr>
              <w:suppressAutoHyphens/>
              <w:ind w:firstLine="567"/>
              <w:jc w:val="center"/>
              <w:rPr>
                <w:b/>
                <w:bCs/>
                <w:color w:val="000000"/>
              </w:rPr>
            </w:pPr>
            <w:r w:rsidRPr="00DF5C89">
              <w:rPr>
                <w:b/>
                <w:bCs/>
                <w:color w:val="000000"/>
              </w:rPr>
              <w:t>398</w:t>
            </w:r>
          </w:p>
        </w:tc>
      </w:tr>
    </w:tbl>
    <w:p w:rsidR="00B40BD3" w:rsidRPr="00DF5C89" w:rsidRDefault="00B40BD3" w:rsidP="00B40BD3">
      <w:pPr>
        <w:suppressAutoHyphens/>
        <w:ind w:firstLine="567"/>
        <w:jc w:val="both"/>
        <w:rPr>
          <w:rFonts w:ascii="Arial" w:hAnsi="Arial" w:cs="Arial"/>
          <w:b/>
          <w:bCs/>
        </w:rPr>
      </w:pPr>
    </w:p>
    <w:p w:rsidR="00F306E7" w:rsidRDefault="00F306E7" w:rsidP="00B40BD3">
      <w:pPr>
        <w:suppressAutoHyphens/>
        <w:spacing w:after="160" w:line="259" w:lineRule="auto"/>
        <w:ind w:firstLine="567"/>
        <w:jc w:val="center"/>
        <w:rPr>
          <w:b/>
          <w:bCs/>
        </w:rPr>
      </w:pPr>
    </w:p>
    <w:p w:rsidR="00F306E7" w:rsidRDefault="00F306E7" w:rsidP="00B40BD3">
      <w:pPr>
        <w:suppressAutoHyphens/>
        <w:spacing w:after="160" w:line="259" w:lineRule="auto"/>
        <w:ind w:firstLine="567"/>
        <w:jc w:val="center"/>
        <w:rPr>
          <w:b/>
          <w:bCs/>
        </w:rPr>
      </w:pPr>
    </w:p>
    <w:p w:rsidR="00F306E7" w:rsidRDefault="00F306E7" w:rsidP="00B40BD3">
      <w:pPr>
        <w:suppressAutoHyphens/>
        <w:spacing w:after="160" w:line="259" w:lineRule="auto"/>
        <w:ind w:firstLine="567"/>
        <w:jc w:val="center"/>
        <w:rPr>
          <w:b/>
          <w:bCs/>
        </w:rPr>
      </w:pPr>
    </w:p>
    <w:p w:rsidR="00F306E7" w:rsidRDefault="00F306E7" w:rsidP="00B40BD3">
      <w:pPr>
        <w:suppressAutoHyphens/>
        <w:spacing w:after="160" w:line="259" w:lineRule="auto"/>
        <w:ind w:firstLine="567"/>
        <w:jc w:val="center"/>
        <w:rPr>
          <w:b/>
          <w:bCs/>
        </w:rPr>
      </w:pPr>
    </w:p>
    <w:p w:rsidR="00F306E7" w:rsidRDefault="00F306E7" w:rsidP="00B40BD3">
      <w:pPr>
        <w:suppressAutoHyphens/>
        <w:spacing w:after="160" w:line="259" w:lineRule="auto"/>
        <w:ind w:firstLine="567"/>
        <w:jc w:val="center"/>
        <w:rPr>
          <w:b/>
          <w:bCs/>
        </w:rPr>
      </w:pPr>
    </w:p>
    <w:p w:rsidR="00F306E7" w:rsidRDefault="00F306E7" w:rsidP="00B40BD3">
      <w:pPr>
        <w:suppressAutoHyphens/>
        <w:spacing w:after="160" w:line="259" w:lineRule="auto"/>
        <w:ind w:firstLine="567"/>
        <w:jc w:val="center"/>
        <w:rPr>
          <w:b/>
          <w:bCs/>
        </w:rPr>
      </w:pPr>
    </w:p>
    <w:p w:rsidR="00B40BD3" w:rsidRPr="00DF5C89" w:rsidRDefault="00B40BD3" w:rsidP="00B40BD3">
      <w:pPr>
        <w:suppressAutoHyphens/>
        <w:spacing w:after="160" w:line="259" w:lineRule="auto"/>
        <w:ind w:firstLine="567"/>
        <w:jc w:val="center"/>
        <w:rPr>
          <w:b/>
          <w:bCs/>
        </w:rPr>
      </w:pPr>
      <w:r w:rsidRPr="00DF5C89">
        <w:rPr>
          <w:b/>
          <w:bCs/>
        </w:rPr>
        <w:lastRenderedPageBreak/>
        <w:t>ANEXO II</w:t>
      </w:r>
    </w:p>
    <w:p w:rsidR="00B40BD3" w:rsidRPr="00DF5C89" w:rsidRDefault="00B40BD3" w:rsidP="00B40BD3">
      <w:pPr>
        <w:pStyle w:val="Cabealho"/>
        <w:tabs>
          <w:tab w:val="clear" w:pos="4419"/>
          <w:tab w:val="clear" w:pos="8838"/>
        </w:tabs>
        <w:suppressAutoHyphens/>
        <w:ind w:firstLine="567"/>
        <w:jc w:val="center"/>
        <w:rPr>
          <w:b/>
          <w:bCs/>
          <w:sz w:val="24"/>
          <w:szCs w:val="24"/>
        </w:rPr>
      </w:pPr>
      <w:r w:rsidRPr="00DF5C89">
        <w:rPr>
          <w:b/>
          <w:bCs/>
          <w:sz w:val="24"/>
          <w:szCs w:val="24"/>
        </w:rPr>
        <w:t>QUADRO DEMONSTRATIVO DOS VALORES DE VENCIMENTOS BÁSICOS</w:t>
      </w: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center"/>
        <w:rPr>
          <w:b/>
          <w:bCs/>
          <w:sz w:val="24"/>
          <w:szCs w:val="24"/>
        </w:rPr>
      </w:pPr>
      <w:r w:rsidRPr="00DF5C89">
        <w:rPr>
          <w:b/>
          <w:bCs/>
          <w:sz w:val="24"/>
          <w:szCs w:val="24"/>
        </w:rPr>
        <w:t>PROFESSOR 40 HORAS SEMANAIS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3574"/>
      </w:tblGrid>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
                <w:bCs/>
                <w:sz w:val="24"/>
                <w:szCs w:val="24"/>
              </w:rPr>
            </w:pPr>
            <w:r w:rsidRPr="00DF5C89">
              <w:rPr>
                <w:b/>
                <w:bCs/>
                <w:sz w:val="24"/>
                <w:szCs w:val="24"/>
              </w:rPr>
              <w:t>CARGO</w:t>
            </w:r>
          </w:p>
        </w:tc>
        <w:tc>
          <w:tcPr>
            <w:tcW w:w="3574" w:type="dxa"/>
            <w:shd w:val="clear" w:color="auto" w:fill="auto"/>
          </w:tcPr>
          <w:p w:rsidR="00B40BD3" w:rsidRPr="00DF5C89" w:rsidRDefault="00B40BD3" w:rsidP="00353FE9">
            <w:pPr>
              <w:pStyle w:val="Cabealho"/>
              <w:tabs>
                <w:tab w:val="clear" w:pos="4419"/>
                <w:tab w:val="clear" w:pos="8838"/>
              </w:tabs>
              <w:suppressAutoHyphens/>
              <w:ind w:firstLine="567"/>
              <w:jc w:val="both"/>
              <w:rPr>
                <w:b/>
                <w:bCs/>
                <w:sz w:val="24"/>
                <w:szCs w:val="24"/>
              </w:rPr>
            </w:pPr>
            <w:r w:rsidRPr="00DF5C89">
              <w:rPr>
                <w:b/>
                <w:bCs/>
                <w:sz w:val="24"/>
                <w:szCs w:val="24"/>
              </w:rPr>
              <w:t>VALOR</w:t>
            </w:r>
          </w:p>
        </w:tc>
      </w:tr>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Cs/>
                <w:sz w:val="24"/>
                <w:szCs w:val="24"/>
              </w:rPr>
            </w:pPr>
            <w:r w:rsidRPr="00DF5C89">
              <w:rPr>
                <w:bCs/>
                <w:sz w:val="24"/>
                <w:szCs w:val="24"/>
              </w:rPr>
              <w:t>PROFESSOR CLASSE A</w:t>
            </w:r>
          </w:p>
        </w:tc>
        <w:tc>
          <w:tcPr>
            <w:tcW w:w="3574" w:type="dxa"/>
            <w:shd w:val="clear" w:color="auto" w:fill="auto"/>
          </w:tcPr>
          <w:p w:rsidR="00B40BD3" w:rsidRPr="00DF5C89" w:rsidRDefault="00B40BD3" w:rsidP="00353FE9">
            <w:pPr>
              <w:suppressAutoHyphens/>
              <w:ind w:firstLine="567"/>
              <w:jc w:val="both"/>
              <w:rPr>
                <w:bCs/>
              </w:rPr>
            </w:pPr>
            <w:r w:rsidRPr="00DF5C89">
              <w:t xml:space="preserve">R$ 1.536,36 </w:t>
            </w:r>
          </w:p>
        </w:tc>
      </w:tr>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Cs/>
                <w:sz w:val="24"/>
                <w:szCs w:val="24"/>
              </w:rPr>
            </w:pPr>
            <w:r w:rsidRPr="00DF5C89">
              <w:rPr>
                <w:bCs/>
                <w:sz w:val="24"/>
                <w:szCs w:val="24"/>
              </w:rPr>
              <w:t>PROFESSOR CLASSE B</w:t>
            </w:r>
          </w:p>
        </w:tc>
        <w:tc>
          <w:tcPr>
            <w:tcW w:w="3574" w:type="dxa"/>
            <w:shd w:val="clear" w:color="auto" w:fill="auto"/>
          </w:tcPr>
          <w:p w:rsidR="00B40BD3" w:rsidRPr="00DF5C89" w:rsidRDefault="00B40BD3" w:rsidP="00353FE9">
            <w:pPr>
              <w:suppressAutoHyphens/>
              <w:ind w:firstLine="567"/>
              <w:jc w:val="both"/>
              <w:rPr>
                <w:bCs/>
              </w:rPr>
            </w:pPr>
            <w:r w:rsidRPr="00DF5C89">
              <w:t xml:space="preserve">R$ 1.536,36 </w:t>
            </w:r>
          </w:p>
        </w:tc>
      </w:tr>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Cs/>
                <w:sz w:val="24"/>
                <w:szCs w:val="24"/>
              </w:rPr>
            </w:pPr>
            <w:r w:rsidRPr="00DF5C89">
              <w:rPr>
                <w:bCs/>
                <w:sz w:val="24"/>
                <w:szCs w:val="24"/>
              </w:rPr>
              <w:t>PROFESSOR CLASSE C</w:t>
            </w:r>
          </w:p>
        </w:tc>
        <w:tc>
          <w:tcPr>
            <w:tcW w:w="3574" w:type="dxa"/>
            <w:shd w:val="clear" w:color="auto" w:fill="auto"/>
          </w:tcPr>
          <w:p w:rsidR="00B40BD3" w:rsidRPr="00DF5C89" w:rsidRDefault="00B40BD3" w:rsidP="00353FE9">
            <w:pPr>
              <w:suppressAutoHyphens/>
              <w:ind w:firstLine="567"/>
              <w:jc w:val="both"/>
              <w:rPr>
                <w:bCs/>
              </w:rPr>
            </w:pPr>
            <w:r w:rsidRPr="00DF5C89">
              <w:t xml:space="preserve">R$ 2.016,59 </w:t>
            </w:r>
          </w:p>
        </w:tc>
      </w:tr>
    </w:tbl>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center"/>
        <w:rPr>
          <w:b/>
          <w:bCs/>
          <w:sz w:val="24"/>
          <w:szCs w:val="24"/>
        </w:rPr>
      </w:pPr>
      <w:r w:rsidRPr="00DF5C89">
        <w:rPr>
          <w:b/>
          <w:bCs/>
          <w:sz w:val="24"/>
          <w:szCs w:val="24"/>
        </w:rPr>
        <w:t>PROFESSOR 20 HORAS SEMANAIS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3645"/>
      </w:tblGrid>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
                <w:bCs/>
                <w:sz w:val="24"/>
                <w:szCs w:val="24"/>
              </w:rPr>
            </w:pPr>
            <w:r w:rsidRPr="00DF5C89">
              <w:rPr>
                <w:b/>
                <w:bCs/>
                <w:sz w:val="24"/>
                <w:szCs w:val="24"/>
              </w:rPr>
              <w:t>CARGO</w:t>
            </w:r>
          </w:p>
        </w:tc>
        <w:tc>
          <w:tcPr>
            <w:tcW w:w="3645" w:type="dxa"/>
            <w:shd w:val="clear" w:color="auto" w:fill="auto"/>
          </w:tcPr>
          <w:p w:rsidR="00B40BD3" w:rsidRPr="00DF5C89" w:rsidRDefault="00B40BD3" w:rsidP="00353FE9">
            <w:pPr>
              <w:pStyle w:val="Cabealho"/>
              <w:tabs>
                <w:tab w:val="clear" w:pos="4419"/>
                <w:tab w:val="clear" w:pos="8838"/>
              </w:tabs>
              <w:suppressAutoHyphens/>
              <w:ind w:firstLine="567"/>
              <w:jc w:val="both"/>
              <w:rPr>
                <w:b/>
                <w:bCs/>
                <w:sz w:val="24"/>
                <w:szCs w:val="24"/>
              </w:rPr>
            </w:pPr>
            <w:r w:rsidRPr="00DF5C89">
              <w:rPr>
                <w:b/>
                <w:bCs/>
                <w:sz w:val="24"/>
                <w:szCs w:val="24"/>
              </w:rPr>
              <w:t>VALOR</w:t>
            </w:r>
          </w:p>
        </w:tc>
      </w:tr>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Cs/>
                <w:sz w:val="24"/>
                <w:szCs w:val="24"/>
              </w:rPr>
            </w:pPr>
            <w:r w:rsidRPr="00DF5C89">
              <w:rPr>
                <w:bCs/>
                <w:sz w:val="24"/>
                <w:szCs w:val="24"/>
              </w:rPr>
              <w:t>PROFESSOR CLASSE A</w:t>
            </w:r>
          </w:p>
        </w:tc>
        <w:tc>
          <w:tcPr>
            <w:tcW w:w="3645" w:type="dxa"/>
            <w:shd w:val="clear" w:color="auto" w:fill="auto"/>
          </w:tcPr>
          <w:p w:rsidR="00B40BD3" w:rsidRPr="00DF5C89" w:rsidRDefault="00B40BD3" w:rsidP="00353FE9">
            <w:pPr>
              <w:suppressAutoHyphens/>
              <w:ind w:firstLine="567"/>
              <w:jc w:val="both"/>
              <w:rPr>
                <w:bCs/>
              </w:rPr>
            </w:pPr>
            <w:r w:rsidRPr="00DF5C89">
              <w:t xml:space="preserve">R$ 768,18 </w:t>
            </w:r>
          </w:p>
        </w:tc>
      </w:tr>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Cs/>
                <w:sz w:val="24"/>
                <w:szCs w:val="24"/>
              </w:rPr>
            </w:pPr>
            <w:r w:rsidRPr="00DF5C89">
              <w:rPr>
                <w:bCs/>
                <w:sz w:val="24"/>
                <w:szCs w:val="24"/>
              </w:rPr>
              <w:t>PROFESSOR CLASSE B</w:t>
            </w:r>
          </w:p>
        </w:tc>
        <w:tc>
          <w:tcPr>
            <w:tcW w:w="3645" w:type="dxa"/>
            <w:shd w:val="clear" w:color="auto" w:fill="auto"/>
          </w:tcPr>
          <w:p w:rsidR="00B40BD3" w:rsidRPr="00DF5C89" w:rsidRDefault="00B40BD3" w:rsidP="00353FE9">
            <w:pPr>
              <w:suppressAutoHyphens/>
              <w:ind w:firstLine="567"/>
              <w:jc w:val="both"/>
              <w:rPr>
                <w:bCs/>
              </w:rPr>
            </w:pPr>
            <w:r w:rsidRPr="00DF5C89">
              <w:t xml:space="preserve">R$ 768,18 </w:t>
            </w:r>
          </w:p>
        </w:tc>
      </w:tr>
      <w:tr w:rsidR="00B40BD3" w:rsidRPr="00DF5C89" w:rsidTr="00353FE9">
        <w:trPr>
          <w:jc w:val="center"/>
        </w:trPr>
        <w:tc>
          <w:tcPr>
            <w:tcW w:w="4747" w:type="dxa"/>
            <w:shd w:val="clear" w:color="auto" w:fill="auto"/>
          </w:tcPr>
          <w:p w:rsidR="00B40BD3" w:rsidRPr="00DF5C89" w:rsidRDefault="00B40BD3" w:rsidP="00353FE9">
            <w:pPr>
              <w:pStyle w:val="Cabealho"/>
              <w:tabs>
                <w:tab w:val="clear" w:pos="4419"/>
                <w:tab w:val="clear" w:pos="8838"/>
              </w:tabs>
              <w:suppressAutoHyphens/>
              <w:ind w:firstLine="567"/>
              <w:jc w:val="both"/>
              <w:rPr>
                <w:bCs/>
                <w:sz w:val="24"/>
                <w:szCs w:val="24"/>
              </w:rPr>
            </w:pPr>
            <w:r w:rsidRPr="00DF5C89">
              <w:rPr>
                <w:bCs/>
                <w:sz w:val="24"/>
                <w:szCs w:val="24"/>
              </w:rPr>
              <w:t>PROFESSOR CLASSE C</w:t>
            </w:r>
          </w:p>
        </w:tc>
        <w:tc>
          <w:tcPr>
            <w:tcW w:w="3645" w:type="dxa"/>
            <w:shd w:val="clear" w:color="auto" w:fill="auto"/>
          </w:tcPr>
          <w:p w:rsidR="00B40BD3" w:rsidRPr="00DF5C89" w:rsidRDefault="00B40BD3" w:rsidP="00353FE9">
            <w:pPr>
              <w:suppressAutoHyphens/>
              <w:ind w:firstLine="567"/>
              <w:jc w:val="both"/>
              <w:rPr>
                <w:bCs/>
              </w:rPr>
            </w:pPr>
            <w:r w:rsidRPr="00DF5C89">
              <w:t xml:space="preserve">R$ 1.008,30 </w:t>
            </w:r>
          </w:p>
        </w:tc>
      </w:tr>
    </w:tbl>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pStyle w:val="Cabealho"/>
        <w:tabs>
          <w:tab w:val="clear" w:pos="4419"/>
          <w:tab w:val="clear" w:pos="8838"/>
        </w:tabs>
        <w:suppressAutoHyphens/>
        <w:ind w:firstLine="567"/>
        <w:jc w:val="both"/>
        <w:rPr>
          <w:bCs/>
          <w:sz w:val="24"/>
          <w:szCs w:val="24"/>
        </w:rPr>
      </w:pPr>
    </w:p>
    <w:p w:rsidR="00B40BD3" w:rsidRPr="00DF5C89" w:rsidRDefault="00B40BD3" w:rsidP="00B40BD3">
      <w:pPr>
        <w:suppressAutoHyphens/>
        <w:ind w:firstLine="567"/>
        <w:jc w:val="both"/>
        <w:rPr>
          <w:rFonts w:ascii="Arial" w:hAnsi="Arial" w:cs="Arial"/>
        </w:rPr>
      </w:pPr>
    </w:p>
    <w:p w:rsidR="00B40BD3" w:rsidRPr="00DF5C89" w:rsidRDefault="00B40BD3" w:rsidP="00B40BD3">
      <w:pPr>
        <w:suppressAutoHyphens/>
        <w:ind w:firstLine="567"/>
        <w:jc w:val="both"/>
        <w:rPr>
          <w:rFonts w:ascii="Arial" w:hAnsi="Arial" w:cs="Arial"/>
        </w:rPr>
      </w:pPr>
    </w:p>
    <w:p w:rsidR="00B40BD3" w:rsidRPr="00DF5C89" w:rsidRDefault="00B40BD3" w:rsidP="00B40BD3">
      <w:pPr>
        <w:suppressAutoHyphens/>
        <w:ind w:firstLine="567"/>
        <w:jc w:val="both"/>
      </w:pPr>
    </w:p>
    <w:p w:rsidR="00B40BD3" w:rsidRPr="00DF5C89" w:rsidRDefault="00B40BD3" w:rsidP="00B40BD3">
      <w:pPr>
        <w:suppressAutoHyphens/>
        <w:ind w:firstLine="567"/>
        <w:jc w:val="both"/>
      </w:pPr>
    </w:p>
    <w:p w:rsidR="00B40BD3" w:rsidRPr="00DF5C89" w:rsidRDefault="00B40BD3" w:rsidP="00B40BD3">
      <w:pPr>
        <w:suppressAutoHyphens/>
        <w:ind w:firstLine="567"/>
        <w:jc w:val="both"/>
      </w:pPr>
    </w:p>
    <w:p w:rsidR="00B40BD3" w:rsidRPr="00DF5C89" w:rsidRDefault="00B40BD3" w:rsidP="00B40BD3">
      <w:pPr>
        <w:suppressAutoHyphens/>
        <w:ind w:firstLine="567"/>
        <w:jc w:val="both"/>
      </w:pPr>
    </w:p>
    <w:p w:rsidR="00B40BD3" w:rsidRPr="00DF5C89" w:rsidRDefault="00B40BD3" w:rsidP="00B40BD3">
      <w:pPr>
        <w:widowControl w:val="0"/>
        <w:suppressAutoHyphens/>
        <w:autoSpaceDE w:val="0"/>
        <w:autoSpaceDN w:val="0"/>
        <w:adjustRightInd w:val="0"/>
        <w:ind w:firstLine="567"/>
        <w:jc w:val="both"/>
        <w:rPr>
          <w:color w:val="000000"/>
        </w:rPr>
      </w:pPr>
    </w:p>
    <w:p w:rsidR="00B40BD3" w:rsidRPr="00DF5C89" w:rsidRDefault="00B40BD3" w:rsidP="00B40BD3">
      <w:pPr>
        <w:suppressAutoHyphens/>
        <w:spacing w:line="276" w:lineRule="auto"/>
        <w:ind w:firstLine="567"/>
        <w:jc w:val="both"/>
        <w:rPr>
          <w:iCs/>
          <w:color w:val="000000"/>
        </w:rPr>
      </w:pPr>
    </w:p>
    <w:p w:rsidR="00B40BD3" w:rsidRPr="00DF5C89" w:rsidRDefault="00B40BD3" w:rsidP="00B40BD3">
      <w:pPr>
        <w:suppressAutoHyphens/>
        <w:ind w:firstLine="567"/>
        <w:jc w:val="center"/>
        <w:rPr>
          <w:b/>
        </w:rPr>
      </w:pPr>
    </w:p>
    <w:p w:rsidR="00B40BD3" w:rsidRPr="00DF5C89" w:rsidRDefault="00B40BD3" w:rsidP="00B40BD3">
      <w:pPr>
        <w:suppressAutoHyphens/>
        <w:ind w:firstLine="567"/>
      </w:pPr>
    </w:p>
    <w:p w:rsidR="00B40BD3" w:rsidRPr="00DF5C89" w:rsidRDefault="00B40BD3" w:rsidP="00B40BD3">
      <w:pPr>
        <w:suppressAutoHyphens/>
        <w:ind w:firstLine="567"/>
      </w:pPr>
    </w:p>
    <w:p w:rsidR="00B40BD3" w:rsidRPr="00DF5C89" w:rsidRDefault="00B40BD3" w:rsidP="00B40BD3">
      <w:pPr>
        <w:suppressAutoHyphens/>
        <w:ind w:firstLine="567"/>
      </w:pPr>
    </w:p>
    <w:p w:rsidR="00B40BD3" w:rsidRPr="00DF5C89" w:rsidRDefault="00B40BD3" w:rsidP="00B40BD3">
      <w:pPr>
        <w:suppressAutoHyphens/>
        <w:ind w:firstLine="567"/>
      </w:pPr>
    </w:p>
    <w:p w:rsidR="00B40BD3" w:rsidRPr="00DF5C89" w:rsidRDefault="00B40BD3" w:rsidP="00B40BD3">
      <w:pPr>
        <w:suppressAutoHyphens/>
        <w:ind w:firstLine="567"/>
      </w:pPr>
    </w:p>
    <w:p w:rsidR="00B40BD3" w:rsidRDefault="00B40BD3" w:rsidP="00217C87">
      <w:pPr>
        <w:ind w:firstLine="600"/>
        <w:jc w:val="both"/>
      </w:pPr>
    </w:p>
    <w:sectPr w:rsidR="00B40BD3" w:rsidSect="00875337">
      <w:headerReference w:type="default" r:id="rId9"/>
      <w:footerReference w:type="default" r:id="rId10"/>
      <w:pgSz w:w="11907" w:h="16840" w:code="9"/>
      <w:pgMar w:top="1134" w:right="567" w:bottom="567" w:left="1134" w:header="56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C3" w:rsidRDefault="004322C3">
      <w:r>
        <w:separator/>
      </w:r>
    </w:p>
  </w:endnote>
  <w:endnote w:type="continuationSeparator" w:id="0">
    <w:p w:rsidR="004322C3" w:rsidRDefault="0043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D61341">
      <w:rPr>
        <w:noProof/>
      </w:rPr>
      <w:t>2</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C3" w:rsidRDefault="004322C3">
      <w:r>
        <w:separator/>
      </w:r>
    </w:p>
  </w:footnote>
  <w:footnote w:type="continuationSeparator" w:id="0">
    <w:p w:rsidR="004322C3" w:rsidRDefault="0043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70.85pt" o:ole="" fillcolor="window">
          <v:imagedata r:id="rId1" o:title=""/>
        </v:shape>
        <o:OLEObject Type="Embed" ProgID="Word.Picture.8" ShapeID="_x0000_i1025" DrawAspect="Content" ObjectID="_1492319263"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5DC7"/>
    <w:rsid w:val="002D79B9"/>
    <w:rsid w:val="002E2C5B"/>
    <w:rsid w:val="002E4BEB"/>
    <w:rsid w:val="002F03A8"/>
    <w:rsid w:val="002F0B85"/>
    <w:rsid w:val="002F36CE"/>
    <w:rsid w:val="002F4800"/>
    <w:rsid w:val="00303231"/>
    <w:rsid w:val="003039CF"/>
    <w:rsid w:val="00307FB2"/>
    <w:rsid w:val="00310663"/>
    <w:rsid w:val="00310958"/>
    <w:rsid w:val="00311A6D"/>
    <w:rsid w:val="0031631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22C3"/>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253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89F"/>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5337"/>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36A10"/>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D7248"/>
    <w:rsid w:val="00AE4649"/>
    <w:rsid w:val="00AE5225"/>
    <w:rsid w:val="00AF0309"/>
    <w:rsid w:val="00B05003"/>
    <w:rsid w:val="00B06C44"/>
    <w:rsid w:val="00B1035B"/>
    <w:rsid w:val="00B3590E"/>
    <w:rsid w:val="00B379CA"/>
    <w:rsid w:val="00B40BD3"/>
    <w:rsid w:val="00B40C09"/>
    <w:rsid w:val="00B4273C"/>
    <w:rsid w:val="00B469F9"/>
    <w:rsid w:val="00B53F9D"/>
    <w:rsid w:val="00B55265"/>
    <w:rsid w:val="00B60435"/>
    <w:rsid w:val="00B63A65"/>
    <w:rsid w:val="00B7187C"/>
    <w:rsid w:val="00B72753"/>
    <w:rsid w:val="00B764B7"/>
    <w:rsid w:val="00B83035"/>
    <w:rsid w:val="00B834F6"/>
    <w:rsid w:val="00B8352C"/>
    <w:rsid w:val="00B847D5"/>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3DBD"/>
    <w:rsid w:val="00D14F9C"/>
    <w:rsid w:val="00D15A70"/>
    <w:rsid w:val="00D20F26"/>
    <w:rsid w:val="00D247B3"/>
    <w:rsid w:val="00D27231"/>
    <w:rsid w:val="00D319D2"/>
    <w:rsid w:val="00D32077"/>
    <w:rsid w:val="00D3373B"/>
    <w:rsid w:val="00D41CCA"/>
    <w:rsid w:val="00D42D82"/>
    <w:rsid w:val="00D46861"/>
    <w:rsid w:val="00D47C8A"/>
    <w:rsid w:val="00D57E1D"/>
    <w:rsid w:val="00D61341"/>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210EA"/>
    <w:rsid w:val="00F25720"/>
    <w:rsid w:val="00F3035B"/>
    <w:rsid w:val="00F306E7"/>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834">
      <w:bodyDiv w:val="1"/>
      <w:marLeft w:val="0"/>
      <w:marRight w:val="0"/>
      <w:marTop w:val="0"/>
      <w:marBottom w:val="0"/>
      <w:divBdr>
        <w:top w:val="none" w:sz="0" w:space="0" w:color="auto"/>
        <w:left w:val="none" w:sz="0" w:space="0" w:color="auto"/>
        <w:bottom w:val="none" w:sz="0" w:space="0" w:color="auto"/>
        <w:right w:val="none" w:sz="0" w:space="0" w:color="auto"/>
      </w:divBdr>
    </w:div>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8159-E4BE-4F9F-A407-DAC989DE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971</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Maria Auxiliadora dos Santos</cp:lastModifiedBy>
  <cp:revision>14</cp:revision>
  <cp:lastPrinted>2015-04-30T15:11:00Z</cp:lastPrinted>
  <dcterms:created xsi:type="dcterms:W3CDTF">2014-09-04T15:07:00Z</dcterms:created>
  <dcterms:modified xsi:type="dcterms:W3CDTF">2015-05-05T12:21:00Z</dcterms:modified>
</cp:coreProperties>
</file>