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5B" w:rsidRPr="00AE4504" w:rsidRDefault="0061275B" w:rsidP="0061275B">
      <w:pPr>
        <w:tabs>
          <w:tab w:val="left" w:pos="8931"/>
        </w:tabs>
        <w:jc w:val="center"/>
        <w:rPr>
          <w:bCs/>
        </w:rPr>
      </w:pPr>
      <w:r w:rsidRPr="00AE4504">
        <w:rPr>
          <w:bCs/>
        </w:rPr>
        <w:t>MENSAGEM N.</w:t>
      </w:r>
      <w:r>
        <w:rPr>
          <w:bCs/>
        </w:rPr>
        <w:t xml:space="preserve"> 234</w:t>
      </w:r>
      <w:r w:rsidRPr="00AE4504">
        <w:rPr>
          <w:bCs/>
        </w:rPr>
        <w:t xml:space="preserve">, DE </w:t>
      </w:r>
      <w:r>
        <w:rPr>
          <w:bCs/>
        </w:rPr>
        <w:t xml:space="preserve">30 </w:t>
      </w:r>
      <w:r w:rsidRPr="00AE4504">
        <w:rPr>
          <w:bCs/>
        </w:rPr>
        <w:t xml:space="preserve">DE </w:t>
      </w:r>
      <w:r>
        <w:rPr>
          <w:bCs/>
        </w:rPr>
        <w:t xml:space="preserve">DEZEMBRO </w:t>
      </w:r>
      <w:r w:rsidRPr="00AE4504">
        <w:rPr>
          <w:bCs/>
        </w:rPr>
        <w:t>DE 201</w:t>
      </w:r>
      <w:r>
        <w:rPr>
          <w:bCs/>
        </w:rPr>
        <w:t>4</w:t>
      </w:r>
      <w:r w:rsidRPr="00AE4504">
        <w:rPr>
          <w:bCs/>
        </w:rPr>
        <w:t>.</w:t>
      </w:r>
    </w:p>
    <w:p w:rsidR="0061275B" w:rsidRPr="00AE4504" w:rsidRDefault="0061275B" w:rsidP="0061275B">
      <w:pPr>
        <w:tabs>
          <w:tab w:val="left" w:pos="8931"/>
        </w:tabs>
        <w:ind w:firstLine="567"/>
        <w:jc w:val="both"/>
      </w:pPr>
    </w:p>
    <w:p w:rsidR="0061275B" w:rsidRPr="00AE4504" w:rsidRDefault="0061275B" w:rsidP="0061275B">
      <w:pPr>
        <w:tabs>
          <w:tab w:val="left" w:pos="8931"/>
        </w:tabs>
        <w:ind w:firstLine="567"/>
        <w:jc w:val="both"/>
      </w:pPr>
      <w:r w:rsidRPr="00AE4504">
        <w:t>EXCELENTÍSSIMOS SENHORES MEMBROS DA ASSEMBLEIA LEGISLATIVA:</w:t>
      </w:r>
    </w:p>
    <w:p w:rsidR="0061275B" w:rsidRPr="00AE4504" w:rsidRDefault="0061275B" w:rsidP="0061275B">
      <w:pPr>
        <w:tabs>
          <w:tab w:val="left" w:pos="8931"/>
        </w:tabs>
        <w:jc w:val="both"/>
      </w:pPr>
    </w:p>
    <w:p w:rsidR="0061275B" w:rsidRPr="0083367B" w:rsidRDefault="0061275B" w:rsidP="0061275B">
      <w:pPr>
        <w:pStyle w:val="Corpodetexto"/>
        <w:ind w:firstLine="567"/>
        <w:rPr>
          <w:sz w:val="24"/>
          <w:szCs w:val="24"/>
        </w:rPr>
      </w:pPr>
      <w:r w:rsidRPr="0083367B">
        <w:rPr>
          <w:sz w:val="24"/>
          <w:szCs w:val="24"/>
        </w:rPr>
        <w:t>Com amparo no artigo 42, § 1º, da Constituição do Estado, impõe-me o dever de informar a Vossas Excelências, que vetei parcialmente o Projeto de Lei de iniciativa deste Poder Executivo, que “</w:t>
      </w:r>
      <w:r w:rsidRPr="0083367B">
        <w:rPr>
          <w:rStyle w:val="f31"/>
        </w:rPr>
        <w:t>Institui o procedimento da descentralização de créditos orçamentários em matéria previdenciária</w:t>
      </w:r>
      <w:r w:rsidRPr="0083367B">
        <w:rPr>
          <w:sz w:val="24"/>
          <w:szCs w:val="24"/>
        </w:rPr>
        <w:t>” (sic), encaminhado a este Executivo com a Mensagem n. 287/2014-ALE, de 10 de dezembro de 2014.</w:t>
      </w:r>
    </w:p>
    <w:p w:rsidR="0061275B" w:rsidRPr="0083367B" w:rsidRDefault="0061275B" w:rsidP="0061275B">
      <w:pPr>
        <w:pStyle w:val="Corpodetexto"/>
        <w:ind w:firstLine="567"/>
        <w:rPr>
          <w:sz w:val="24"/>
          <w:szCs w:val="24"/>
        </w:rPr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Trata-se de veto parcial</w:t>
      </w:r>
      <w:r>
        <w:t>,</w:t>
      </w:r>
      <w:r w:rsidRPr="0083367B">
        <w:t xml:space="preserve"> dedicado</w:t>
      </w:r>
      <w:r>
        <w:t>,</w:t>
      </w:r>
      <w:r w:rsidRPr="0083367B">
        <w:t xml:space="preserve"> apenas</w:t>
      </w:r>
      <w:r>
        <w:t>,</w:t>
      </w:r>
      <w:r w:rsidRPr="0083367B">
        <w:t xml:space="preserve"> ao § 5º</w:t>
      </w:r>
      <w:r>
        <w:t>,</w:t>
      </w:r>
      <w:r w:rsidRPr="0083367B">
        <w:t xml:space="preserve"> do artigo 1º</w:t>
      </w:r>
      <w:r>
        <w:t>,</w:t>
      </w:r>
      <w:r w:rsidRPr="0083367B">
        <w:t xml:space="preserve"> do Autógrafo de Lei em tela, </w:t>
      </w:r>
      <w:r>
        <w:t xml:space="preserve">o qual é </w:t>
      </w:r>
      <w:r w:rsidRPr="0083367B">
        <w:t>derivado de emenda realizada p</w:t>
      </w:r>
      <w:r>
        <w:t>or essa</w:t>
      </w:r>
      <w:r w:rsidRPr="0083367B">
        <w:t xml:space="preserve"> Assembleia Legislativa em Projeto de iniciativa do Poder Executivo, que no exercício de sua competência privativa em tema dessa natureza e em observância ao disposto no inciso VI</w:t>
      </w:r>
      <w:r>
        <w:t>,</w:t>
      </w:r>
      <w:r w:rsidRPr="0083367B">
        <w:t xml:space="preserve"> do artigo 167</w:t>
      </w:r>
      <w:r>
        <w:t>,</w:t>
      </w:r>
      <w:r w:rsidRPr="0083367B">
        <w:t xml:space="preserve"> da Constituição Federal de 1988, encaminhou ao Poder Legislativo, Projeto de Lei </w:t>
      </w:r>
      <w:r>
        <w:t>tratando</w:t>
      </w:r>
      <w:r w:rsidRPr="0083367B">
        <w:t xml:space="preserve"> da descentralização dos créditos orçamentários em matéria previdenciária para análise, discussão e aprovação d</w:t>
      </w:r>
      <w:r>
        <w:t>esse</w:t>
      </w:r>
      <w:r w:rsidRPr="0083367B">
        <w:t xml:space="preserve"> Parlamento que</w:t>
      </w:r>
      <w:r>
        <w:t>,</w:t>
      </w:r>
      <w:r w:rsidRPr="0083367B">
        <w:t xml:space="preserve"> no tocante às Unidades Orçamentárias do Poder Executivo, liberou a descentralização dos créditos previdenciários para os demais Poderes e </w:t>
      </w:r>
      <w:r>
        <w:t xml:space="preserve">à </w:t>
      </w:r>
      <w:r w:rsidRPr="0083367B">
        <w:t>Autarquia</w:t>
      </w:r>
      <w:r>
        <w:t>, porém,</w:t>
      </w:r>
      <w:r w:rsidRPr="0083367B">
        <w:t xml:space="preserve"> impôs vedação para as Unidades Orçamentárias do Poder Executivo.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>
        <w:t>Senhores Deputados, Vossas Excelências</w:t>
      </w:r>
      <w:r w:rsidRPr="0083367B">
        <w:t xml:space="preserve"> permiti</w:t>
      </w:r>
      <w:r>
        <w:t>ram</w:t>
      </w:r>
      <w:r w:rsidRPr="0083367B">
        <w:t xml:space="preserve"> a descentralização p</w:t>
      </w:r>
      <w:r>
        <w:t>ara os</w:t>
      </w:r>
      <w:r w:rsidRPr="0083367B">
        <w:t xml:space="preserve"> organismos citados</w:t>
      </w:r>
      <w:r>
        <w:t>, contudo,</w:t>
      </w:r>
      <w:r w:rsidRPr="0083367B">
        <w:t xml:space="preserve"> não permitir</w:t>
      </w:r>
      <w:r>
        <w:t>am</w:t>
      </w:r>
      <w:r w:rsidRPr="0083367B">
        <w:t xml:space="preserve"> a descentralização para o Poder Executivo quando este</w:t>
      </w:r>
      <w:r>
        <w:t xml:space="preserve"> é</w:t>
      </w:r>
      <w:r w:rsidRPr="0083367B">
        <w:t xml:space="preserve"> o detentor do orçamento</w:t>
      </w:r>
      <w:r>
        <w:t>.</w:t>
      </w:r>
      <w:r w:rsidRPr="0083367B">
        <w:t xml:space="preserve"> </w:t>
      </w:r>
      <w:r>
        <w:t>P</w:t>
      </w:r>
      <w:r w:rsidRPr="0083367B">
        <w:t>or outro lado</w:t>
      </w:r>
      <w:r>
        <w:t>,</w:t>
      </w:r>
      <w:r w:rsidRPr="0083367B">
        <w:t xml:space="preserve"> permiti</w:t>
      </w:r>
      <w:r>
        <w:t xml:space="preserve">ram a descentralização de crédito </w:t>
      </w:r>
      <w:r w:rsidRPr="0083367B">
        <w:t>previdenciário para o IPERON</w:t>
      </w:r>
      <w:r>
        <w:t>, Entidade A</w:t>
      </w:r>
      <w:r w:rsidRPr="0083367B">
        <w:t>ut</w:t>
      </w:r>
      <w:r>
        <w:t>árquica</w:t>
      </w:r>
      <w:r w:rsidRPr="0083367B">
        <w:t xml:space="preserve"> ligada ao Poder Executivo.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>
        <w:t>A</w:t>
      </w:r>
      <w:r w:rsidRPr="0083367B">
        <w:t xml:space="preserve"> Carta Republicana prevê que a previdência pública terá apenas uma </w:t>
      </w:r>
      <w:r>
        <w:t>U</w:t>
      </w:r>
      <w:r w:rsidRPr="0083367B">
        <w:t xml:space="preserve">nidade </w:t>
      </w:r>
      <w:r>
        <w:t>G</w:t>
      </w:r>
      <w:r w:rsidRPr="0083367B">
        <w:t xml:space="preserve">estora. É </w:t>
      </w:r>
      <w:r>
        <w:t>de</w:t>
      </w:r>
      <w:r w:rsidRPr="0083367B">
        <w:t xml:space="preserve"> bom tom </w:t>
      </w:r>
      <w:r>
        <w:t xml:space="preserve">transcrever </w:t>
      </w:r>
      <w:r w:rsidRPr="0083367B">
        <w:t>o artigo infra: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Art, 40. [...] § 20. Fica vedada a existência de mais de um regime próprio de previdência social para os servidores titulares de cargos efetivos, e de mais de uma unidade gestora do respectivo regime em cada ente estatal, ressalvado o disposto no art. 142, § 3</w:t>
      </w:r>
      <w:r>
        <w:rPr>
          <w:sz w:val="20"/>
        </w:rPr>
        <w:t>º</w:t>
      </w:r>
      <w:r w:rsidRPr="0083367B">
        <w:rPr>
          <w:sz w:val="20"/>
        </w:rPr>
        <w:t>, X.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 xml:space="preserve">Desta forma, </w:t>
      </w:r>
      <w:r w:rsidRPr="00AB295B">
        <w:rPr>
          <w:i/>
        </w:rPr>
        <w:t>nudo óculo</w:t>
      </w:r>
      <w:r w:rsidRPr="0083367B">
        <w:t xml:space="preserve">, tira-se qualquer dúvida acerca da impossibilidade de pluralidade de gestoras do </w:t>
      </w:r>
      <w:r>
        <w:t>R</w:t>
      </w:r>
      <w:r w:rsidRPr="0083367B">
        <w:t>egim</w:t>
      </w:r>
      <w:r>
        <w:t>e Próprio de Previdência Social.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 xml:space="preserve">Numa rápida digressão legalista, observa-se que o </w:t>
      </w:r>
      <w:r>
        <w:t>T</w:t>
      </w:r>
      <w:r w:rsidRPr="0083367B">
        <w:t xml:space="preserve">exto </w:t>
      </w:r>
      <w:r>
        <w:t>C</w:t>
      </w:r>
      <w:r w:rsidRPr="0083367B">
        <w:t xml:space="preserve">onstitucional outorgou à </w:t>
      </w:r>
      <w:r>
        <w:t>L</w:t>
      </w:r>
      <w:r w:rsidRPr="0083367B">
        <w:t xml:space="preserve">ei </w:t>
      </w:r>
      <w:r>
        <w:t>C</w:t>
      </w:r>
      <w:r w:rsidRPr="0083367B">
        <w:t>omplementar a definição de regras sobre gestão pública responsável e direito financeiro: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Art. 165. [...] § 9</w:t>
      </w:r>
      <w:r>
        <w:rPr>
          <w:sz w:val="20"/>
        </w:rPr>
        <w:t>º.</w:t>
      </w:r>
      <w:r w:rsidRPr="0083367B">
        <w:rPr>
          <w:sz w:val="20"/>
        </w:rPr>
        <w:t xml:space="preserve"> Cabe à lei complementar:</w:t>
      </w: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</w:p>
    <w:p w:rsidR="0061275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I</w:t>
      </w:r>
      <w:r w:rsidRPr="0083367B">
        <w:rPr>
          <w:sz w:val="20"/>
        </w:rPr>
        <w:tab/>
        <w:t>- dispor sobre o exercício financeiro, a vigência, os prazos, a elaboração e a organização do plano plurianual, da lei de diretrizes orçamentárias e da lei orçamentária anual;</w:t>
      </w: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II</w:t>
      </w:r>
      <w:r w:rsidRPr="0083367B">
        <w:rPr>
          <w:sz w:val="20"/>
        </w:rPr>
        <w:tab/>
        <w:t>- estabelecer normas de gestão financeira e patrimonial da administração direta e indireta bem como condições para a instituição e funcionamento de fundos.</w:t>
      </w: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jc w:val="both"/>
        <w:rPr>
          <w:sz w:val="20"/>
        </w:rPr>
      </w:pPr>
    </w:p>
    <w:p w:rsidR="0061275B" w:rsidRDefault="0061275B" w:rsidP="0061275B">
      <w:pPr>
        <w:pStyle w:val="Recuodecorpodetexto"/>
        <w:tabs>
          <w:tab w:val="left" w:pos="567"/>
        </w:tabs>
        <w:spacing w:after="0"/>
        <w:jc w:val="both"/>
      </w:pPr>
      <w:r w:rsidRPr="0083367B">
        <w:tab/>
        <w:t>No correto cumprimento a Lex Maior, veio à Lei Complementar n. 101</w:t>
      </w:r>
      <w:r>
        <w:t xml:space="preserve">, de 4 de maio de </w:t>
      </w:r>
      <w:r w:rsidRPr="0083367B">
        <w:t>2001 prevendo:</w:t>
      </w:r>
    </w:p>
    <w:p w:rsidR="0061275B" w:rsidRPr="0083367B" w:rsidRDefault="0061275B" w:rsidP="0061275B">
      <w:pPr>
        <w:pStyle w:val="Recuodecorpodetexto"/>
        <w:tabs>
          <w:tab w:val="left" w:pos="567"/>
        </w:tabs>
        <w:spacing w:after="0"/>
        <w:jc w:val="both"/>
        <w:rPr>
          <w:sz w:val="20"/>
        </w:rPr>
      </w:pPr>
    </w:p>
    <w:p w:rsidR="0061275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Art. 1º</w:t>
      </w:r>
      <w:r>
        <w:rPr>
          <w:sz w:val="20"/>
        </w:rPr>
        <w:t>.</w:t>
      </w:r>
      <w:r w:rsidRPr="0083367B">
        <w:rPr>
          <w:sz w:val="20"/>
        </w:rPr>
        <w:t xml:space="preserve"> Esta Lei Complementar estabelece normas de finanças públicas voltadas para a responsabilidade na gestão fiscal, com amparo no </w:t>
      </w:r>
      <w:r w:rsidRPr="001E4EDC">
        <w:rPr>
          <w:sz w:val="20"/>
          <w:u w:val="single"/>
        </w:rPr>
        <w:t>Capítulo II do Título VI da Constituição</w:t>
      </w:r>
      <w:r w:rsidRPr="0083367B">
        <w:rPr>
          <w:sz w:val="20"/>
        </w:rPr>
        <w:t>.</w:t>
      </w: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</w:p>
    <w:p w:rsidR="0061275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lastRenderedPageBreak/>
        <w:t>§ 1º</w:t>
      </w:r>
      <w:r>
        <w:rPr>
          <w:sz w:val="20"/>
        </w:rPr>
        <w:t>.</w:t>
      </w:r>
      <w:r w:rsidRPr="0083367B">
        <w:rPr>
          <w:sz w:val="20"/>
        </w:rPr>
        <w:t xml:space="preserve"> A responsabilidade na gestão fiscal pressupõe a ação planejada e transparente, em que se previnem riscos e corrigem desvios capazes de afetar o equilíbrio das contas públicas, mediante o cumprimento de metas de resultados entre receitas e despesas e a obediência a limites e condições no que tange a renúncia de receita, geração de despesas com pessoal, da seguridade social e outras, dívidas consolidada e mobiliária, operações de crédito, inclusive por antecipação de receita, concessão de garantia e inscrição em Restos a Pagar.</w:t>
      </w: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</w:p>
    <w:p w:rsidR="0061275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§ 2º</w:t>
      </w:r>
      <w:r>
        <w:rPr>
          <w:sz w:val="20"/>
        </w:rPr>
        <w:t>.</w:t>
      </w:r>
      <w:r w:rsidRPr="0083367B">
        <w:rPr>
          <w:sz w:val="20"/>
        </w:rPr>
        <w:t xml:space="preserve"> As disposições desta Lei Complementar obrigam a União, os Estados, o Distrito Federal e os Municípios.</w:t>
      </w: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</w:p>
    <w:p w:rsidR="0061275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§ 3º</w:t>
      </w:r>
      <w:r>
        <w:rPr>
          <w:sz w:val="20"/>
        </w:rPr>
        <w:t>.</w:t>
      </w:r>
      <w:r w:rsidRPr="0083367B">
        <w:rPr>
          <w:sz w:val="20"/>
        </w:rPr>
        <w:t xml:space="preserve"> Nas referências:</w:t>
      </w: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</w:p>
    <w:p w:rsidR="0061275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I - à União, aos Estados, ao Distrito Federal e aos Municípios, estão compreendidos:</w:t>
      </w: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</w:p>
    <w:p w:rsidR="0061275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a)</w:t>
      </w:r>
      <w:r w:rsidRPr="0083367B">
        <w:rPr>
          <w:sz w:val="20"/>
        </w:rPr>
        <w:tab/>
        <w:t>o Poder Executivo, o Poder Legislativo, neste abrangidos os Tribunais de Contas, o Poder Judiciário e o Ministério Público;</w:t>
      </w: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</w:p>
    <w:p w:rsidR="0061275B" w:rsidRPr="0083367B" w:rsidRDefault="0061275B" w:rsidP="0061275B">
      <w:pPr>
        <w:pStyle w:val="Recuodecorpodetexto"/>
        <w:tabs>
          <w:tab w:val="left" w:pos="2552"/>
        </w:tabs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b)</w:t>
      </w:r>
      <w:r w:rsidRPr="0083367B">
        <w:rPr>
          <w:sz w:val="20"/>
        </w:rPr>
        <w:tab/>
        <w:t>as respectivas administrações diretas, fundos, autarquias, fundações e empresas estatais dependentes;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Já no que se refere à questão financeira, a Lei n. 4</w:t>
      </w:r>
      <w:r>
        <w:t>.</w:t>
      </w:r>
      <w:r w:rsidRPr="0083367B">
        <w:t>320</w:t>
      </w:r>
      <w:r>
        <w:t>, de 17 de março de</w:t>
      </w:r>
      <w:r w:rsidRPr="0083367B">
        <w:t>1964 ordena: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Art. 22. A proposta orçamentária que o Poder Executivo encaminhará ao Poder Legislativo nos prazos estabelecidos nas Constituições e nas Leis Orgânicas dos Municípios, compor-se-á: [...] Parágrafo único. Constará da proposta orçamentária para cada unidade administrativa, descrição sucinta d</w:t>
      </w:r>
      <w:r>
        <w:rPr>
          <w:sz w:val="20"/>
        </w:rPr>
        <w:t>e</w:t>
      </w:r>
      <w:r w:rsidRPr="0083367B">
        <w:rPr>
          <w:sz w:val="20"/>
        </w:rPr>
        <w:t xml:space="preserve"> suas principais finalidades, com indicação da respectiva legislação.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E segue a legislação supra: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</w:p>
    <w:p w:rsidR="0061275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Art. 12. [...] § 2º</w:t>
      </w:r>
      <w:r>
        <w:rPr>
          <w:sz w:val="20"/>
        </w:rPr>
        <w:t>.</w:t>
      </w:r>
      <w:r w:rsidRPr="0083367B">
        <w:rPr>
          <w:sz w:val="20"/>
        </w:rPr>
        <w:t xml:space="preserve"> Classificam-se como Transferências Correntes as dotações para despesas as quais não corresponda contraprestação direta em bens ou serviços, inclusive para contribuições e subvenções destinadas a atender à manifestação de outras entidades de direito público ou privado.</w:t>
      </w:r>
    </w:p>
    <w:p w:rsidR="0061275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</w:t>
      </w:r>
    </w:p>
    <w:p w:rsidR="0061275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</w:p>
    <w:p w:rsidR="0061275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 xml:space="preserve">Art. 13. Observadas as categorias econômicas do artigo 12, a discriminação ou especificação da despesa por elementos, em cada unidade administrativa ou órgão de governo, obedecerá ao seguinte esquema: 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DESPESAS CORRENTES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[...]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  <w:u w:val="single"/>
        </w:rPr>
      </w:pPr>
      <w:r w:rsidRPr="0083367B">
        <w:rPr>
          <w:sz w:val="20"/>
          <w:u w:val="single"/>
        </w:rPr>
        <w:t>Transferências Correntes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Subvenções Sociais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Subvenções Econômicas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Inativos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Pensionistas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Salário Família e Abono Familiar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Juros da Dívida Pública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b/>
          <w:sz w:val="20"/>
        </w:rPr>
      </w:pPr>
      <w:r w:rsidRPr="0083367B">
        <w:rPr>
          <w:b/>
          <w:sz w:val="20"/>
        </w:rPr>
        <w:t>Contribuições de Previdência Social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Diversas Transferências Correntes.</w:t>
      </w:r>
    </w:p>
    <w:p w:rsidR="0061275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Art. 107. As entidades autárquicas ou paraestatais, inclusive de previdência social</w:t>
      </w:r>
      <w:r>
        <w:rPr>
          <w:sz w:val="20"/>
        </w:rPr>
        <w:t xml:space="preserve"> </w:t>
      </w:r>
      <w:r w:rsidRPr="0083367B">
        <w:rPr>
          <w:sz w:val="20"/>
        </w:rPr>
        <w:t>ou investidas de delegação para arrecadação de contribuições parafiscais da União, dos Estados, dos Municípios e do Distrito Federal terão seus orçamentos aprovados por decreto do Poder Executivo, salvo se disposição legal expressa determinar que o sejam pelo Poder Legislativo.</w:t>
      </w:r>
    </w:p>
    <w:p w:rsidR="0061275B" w:rsidRPr="0083367B" w:rsidRDefault="0061275B" w:rsidP="0061275B">
      <w:pPr>
        <w:pStyle w:val="Recuodecorpodetexto"/>
        <w:spacing w:after="0"/>
        <w:ind w:left="2268"/>
        <w:jc w:val="both"/>
        <w:rPr>
          <w:sz w:val="20"/>
        </w:rPr>
      </w:pPr>
      <w:r w:rsidRPr="0083367B">
        <w:rPr>
          <w:sz w:val="20"/>
        </w:rPr>
        <w:t>Parágrafo único. Compreendem-se nesta disposição as empresas com autonomia financeira e administrativa cujo capital pertencer, integralmente, ao Poder Público.</w:t>
      </w:r>
    </w:p>
    <w:p w:rsidR="0061275B" w:rsidRPr="0083367B" w:rsidRDefault="0061275B" w:rsidP="0061275B">
      <w:pPr>
        <w:pStyle w:val="Recuodecorpodetexto"/>
        <w:tabs>
          <w:tab w:val="left" w:pos="567"/>
        </w:tabs>
        <w:spacing w:after="0"/>
        <w:jc w:val="both"/>
      </w:pPr>
      <w:r w:rsidRPr="0083367B">
        <w:lastRenderedPageBreak/>
        <w:tab/>
      </w:r>
      <w:r>
        <w:t xml:space="preserve">Assim, não cabe </w:t>
      </w:r>
      <w:r w:rsidRPr="0083367B">
        <w:t xml:space="preserve">Lei Estadual dispor de maneira diferente da regra prevista em Lei Complementar Federal </w:t>
      </w:r>
      <w:r>
        <w:t>- L</w:t>
      </w:r>
      <w:r w:rsidRPr="0083367B">
        <w:t xml:space="preserve">ei de </w:t>
      </w:r>
      <w:r>
        <w:t>D</w:t>
      </w:r>
      <w:r w:rsidRPr="0083367B">
        <w:t xml:space="preserve">ireito </w:t>
      </w:r>
      <w:r>
        <w:t>F</w:t>
      </w:r>
      <w:r w:rsidRPr="0083367B">
        <w:t>inanceiro</w:t>
      </w:r>
      <w:r>
        <w:t>, o</w:t>
      </w:r>
      <w:r w:rsidRPr="0083367B">
        <w:t xml:space="preserve">u seja, </w:t>
      </w:r>
      <w:r>
        <w:t xml:space="preserve">não </w:t>
      </w:r>
      <w:r w:rsidRPr="0083367B">
        <w:t>pode Lei Estadual dispor que os recursos de contribuição de previdência social, que devem ser repassados a unidade gestora única, não ser</w:t>
      </w:r>
      <w:r>
        <w:t>em</w:t>
      </w:r>
      <w:r w:rsidRPr="0083367B">
        <w:t xml:space="preserve"> repassados</w:t>
      </w:r>
      <w:r>
        <w:t>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A Carta Federal de 1988</w:t>
      </w:r>
      <w:r>
        <w:t>,</w:t>
      </w:r>
      <w:r w:rsidRPr="0083367B">
        <w:t xml:space="preserve"> d</w:t>
      </w:r>
      <w:r>
        <w:t>ispõe</w:t>
      </w:r>
      <w:r w:rsidRPr="0083367B">
        <w:t xml:space="preserve"> que cabe a Lei Complementar disciplinar a matéria e esta o faz dizendo que a contribuição previdenciária é transferência corrente, não podendo os órgãos autônomos e poderes, de maneira livre e independente, longe dos olhos do gestor único, pra</w:t>
      </w:r>
      <w:r>
        <w:t>ticar atos que não lhe competem.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Sendo assim, a descentralização de crédito orçamentário em matéria previdenciária pressupõe repasse do valor referente às contribuições previdenciárias pelo Tesouro Estadual ao MPE, DPE e TCE ou Poder</w:t>
      </w:r>
      <w:r>
        <w:t xml:space="preserve">: </w:t>
      </w:r>
      <w:r w:rsidRPr="0083367B">
        <w:t>ALE e TJ, nos moldes determinados pelo IPERON, de modo qu</w:t>
      </w:r>
      <w:r>
        <w:t>e este venha a estabelecer o qua</w:t>
      </w:r>
      <w:r w:rsidRPr="0083367B">
        <w:t>nt</w:t>
      </w:r>
      <w:r>
        <w:t>o</w:t>
      </w:r>
      <w:r w:rsidRPr="0083367B">
        <w:t xml:space="preserve"> a ser descentralizado.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O conceito hodierno propõe que descentralização de crédito orçamentário é uma transferência, de uma unidade orçamentária ou administrativa para outra, do poder de utilizar os créditos orçamentários ou adicionais que estejam sob a supervisão de um, ou lhe tenh</w:t>
      </w:r>
      <w:r>
        <w:t>am sido dotados ou transferidos.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A descentralização interna de créditos é a realizada entre Unidades Gestoras de um mesmo Órgão ou Entidade integrantes do Orçamento Fiscal e da Seguridade Social, respeitada, fielmente, a classifi</w:t>
      </w:r>
      <w:r>
        <w:t>cação funcional e por programas.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A descentralização externa de créditos é a efetivada entre Unidades Gestoras de Órgãos ou Entidades de estrutura diferente, respeitada, fielmente, a classifi</w:t>
      </w:r>
      <w:r>
        <w:t>cação funcional e por programas.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 xml:space="preserve">São operações de descentralização o </w:t>
      </w:r>
      <w:r>
        <w:t>D</w:t>
      </w:r>
      <w:r w:rsidRPr="0083367B">
        <w:t xml:space="preserve">estaque </w:t>
      </w:r>
      <w:r>
        <w:t xml:space="preserve">de Crédito </w:t>
      </w:r>
      <w:r w:rsidRPr="0083367B">
        <w:t xml:space="preserve">e a </w:t>
      </w:r>
      <w:r>
        <w:t>P</w:t>
      </w:r>
      <w:r w:rsidRPr="0083367B">
        <w:t>rovisão</w:t>
      </w:r>
      <w:r>
        <w:t>: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>
        <w:t xml:space="preserve">1 - </w:t>
      </w:r>
      <w:r w:rsidRPr="0083367B">
        <w:t>Destaque de Crédito</w:t>
      </w:r>
      <w:r>
        <w:t>:</w:t>
      </w:r>
      <w:r w:rsidRPr="0083367B">
        <w:t xml:space="preserve"> Operação descentralizadora de crédito orçamentário em que um Ministério ou Órgão transfere para outro Ministério ou Órgão o poder de utilização dos</w:t>
      </w:r>
      <w:r>
        <w:t xml:space="preserve"> recursos que lhe foram dotados;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>
        <w:t xml:space="preserve">2 - </w:t>
      </w:r>
      <w:r w:rsidRPr="0083367B">
        <w:t>Provisão</w:t>
      </w:r>
      <w:r>
        <w:t>:</w:t>
      </w:r>
      <w:r w:rsidRPr="0083367B">
        <w:t xml:space="preserve"> Operação descentralizadora de crédito orçamentário, em que a unidade orçamentária de origem possibilita a realização de seus programas de trabalho por parte de unidade administrativa diretamente subordinada, ou por outras unidades orçamentárias ou administrativas não subordinadas, dentro de um mesmo Ministério ou órgão.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Merecem atenção, ainda, os seguintes conceitos: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>
        <w:t xml:space="preserve">1 - </w:t>
      </w:r>
      <w:r w:rsidRPr="0083367B">
        <w:t>Cota</w:t>
      </w:r>
      <w:r>
        <w:t>:</w:t>
      </w:r>
      <w:r w:rsidRPr="0083367B">
        <w:t xml:space="preserve"> Denomina-se liberação da parcela que o órgão central de programação financeira autorizará o agente financeiro do Tesouro Estadual (STE), a colocar à disposição dos usuários</w:t>
      </w:r>
      <w:r>
        <w:t>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>
        <w:t xml:space="preserve">2 - </w:t>
      </w:r>
      <w:r w:rsidRPr="0083367B">
        <w:t>Repasse</w:t>
      </w:r>
      <w:r>
        <w:t>:</w:t>
      </w:r>
      <w:r w:rsidRPr="0083367B">
        <w:t xml:space="preserve"> Chama-se a importância que uma unidade orçamentária transfere a outra unidade orçamentária de outra secretaria ou órgão. O repasse também será utilizado pelo órgão setorial de programação financeira para transferir recursos às entidades da administração indireta. A figura do repasse financeiro está assoc</w:t>
      </w:r>
      <w:r>
        <w:t>iada à descentralização externa.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>
        <w:lastRenderedPageBreak/>
        <w:t xml:space="preserve">3 - </w:t>
      </w:r>
      <w:r w:rsidRPr="0083367B">
        <w:t>Sub-repasse</w:t>
      </w:r>
      <w:r>
        <w:t>:</w:t>
      </w:r>
      <w:r w:rsidRPr="0083367B">
        <w:t xml:space="preserve"> Intitula-se a importância que uma unidade orçamentária transfere a outra unidade orçamentária ou administrativa da mesma secretaria ou órgão. A figura do sub-repasse está ligada à descentralização interna</w:t>
      </w:r>
      <w:r>
        <w:t>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Na descentralização, as dotações serão empregadas obrigatória e integralmente na consecução do objetivo previsto pelo programa de trabalho pertinente, respeitada fielmente a classificação funcional e por programas. Portanto, a única diferença é que a execução da despesa orçamentária será realizada por outro órgão ou entidade. Na União</w:t>
      </w:r>
      <w:r>
        <w:t>,</w:t>
      </w:r>
      <w:r w:rsidRPr="0083367B">
        <w:t xml:space="preserve"> a descentralização externa de crédito entre órgãos e entidades da administração pública federal, direta e indireta, para executar </w:t>
      </w:r>
      <w:r>
        <w:t>P</w:t>
      </w:r>
      <w:r w:rsidRPr="0083367B">
        <w:t xml:space="preserve">rograma de </w:t>
      </w:r>
      <w:r>
        <w:t>G</w:t>
      </w:r>
      <w:r w:rsidRPr="0083367B">
        <w:t>overno, envolvendo projeto, atividade, aquisição de bens ou evento está disciplinada pelo Decreto n. 6.170, de 25 de julho de 2007, e pela Portaria Interministerial MPOG/MF/CGU n</w:t>
      </w:r>
      <w:r>
        <w:t>.</w:t>
      </w:r>
      <w:r w:rsidRPr="0083367B">
        <w:t xml:space="preserve"> 127, de 29 de maio de 2008, e deve ocorrer por meio de Termo de Cooperação, mediante </w:t>
      </w:r>
      <w:r>
        <w:t>P</w:t>
      </w:r>
      <w:r w:rsidRPr="0083367B">
        <w:t xml:space="preserve">ortaria </w:t>
      </w:r>
      <w:r>
        <w:t>M</w:t>
      </w:r>
      <w:r w:rsidRPr="0083367B">
        <w:t>inisterial, sem a necessidade de exigência de contrapartida.</w:t>
      </w:r>
      <w:r w:rsidRPr="0083367B">
        <w:tab/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 xml:space="preserve">Vale dizer, é o IPERON a única </w:t>
      </w:r>
      <w:r>
        <w:t>U</w:t>
      </w:r>
      <w:r w:rsidRPr="0083367B">
        <w:t xml:space="preserve">nidade </w:t>
      </w:r>
      <w:r>
        <w:t>G</w:t>
      </w:r>
      <w:r w:rsidRPr="0083367B">
        <w:t xml:space="preserve">estora do </w:t>
      </w:r>
      <w:r>
        <w:t>R</w:t>
      </w:r>
      <w:r w:rsidRPr="0083367B">
        <w:t xml:space="preserve">egime de </w:t>
      </w:r>
      <w:r>
        <w:t>P</w:t>
      </w:r>
      <w:r w:rsidRPr="0083367B">
        <w:t xml:space="preserve">revidência </w:t>
      </w:r>
      <w:r>
        <w:t>S</w:t>
      </w:r>
      <w:r w:rsidRPr="0083367B">
        <w:t xml:space="preserve">ocial dos </w:t>
      </w:r>
      <w:r>
        <w:t>S</w:t>
      </w:r>
      <w:r w:rsidRPr="0083367B">
        <w:t xml:space="preserve">ervidores </w:t>
      </w:r>
      <w:r>
        <w:t>E</w:t>
      </w:r>
      <w:r w:rsidRPr="0083367B">
        <w:t xml:space="preserve">staduais </w:t>
      </w:r>
      <w:r>
        <w:t>E</w:t>
      </w:r>
      <w:r w:rsidRPr="0083367B">
        <w:t>fetivos, o que torna evidente a sua competência para fiscalizar e eventualmente revisar os atos concessivo</w:t>
      </w:r>
      <w:r>
        <w:t>s de benefícios previdenciários.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ind w:firstLine="561"/>
        <w:jc w:val="both"/>
      </w:pPr>
      <w:r w:rsidRPr="0083367B">
        <w:t>Ressalta-se, por fim, que mesmo se o Chefe do Poder Executivo, nesse ato consubstanciado no Governador do Estado de Rondônia, ao invés de apresentar o presente veto parcial, demonstrasse aquiescência à emenda realizada no Projeto de Lei e o sancionasse, ainda assim não teria o condão de sanar o vício radical da inconstitucionalidade, nos ditames que comungam a melhor doutrina e o Supremo Tribunal Federal.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 xml:space="preserve">Pelo exposto, infere-se que o </w:t>
      </w:r>
      <w:r>
        <w:t>já citado § 5º do artigo 1º, contraria Legislação Federal, como não atende</w:t>
      </w:r>
      <w:r w:rsidRPr="0083367B">
        <w:t xml:space="preserve"> aos critérios mínimos de suporte ao interesse público, uma vez que trata o assunto de modo temerário e sem critérios concretos para a avaliação dos destinatários da norma.</w:t>
      </w: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</w:p>
    <w:p w:rsidR="0061275B" w:rsidRPr="0083367B" w:rsidRDefault="0061275B" w:rsidP="0061275B">
      <w:pPr>
        <w:pStyle w:val="Recuodecorpodetexto"/>
        <w:spacing w:after="0"/>
        <w:ind w:firstLine="567"/>
        <w:jc w:val="both"/>
      </w:pPr>
      <w:r w:rsidRPr="0083367B">
        <w:t>Certo de ser honrado com a elevada compreensão de Vossas Excelências e, consequentemente, com a pronta aprovação do mencionado veto parcial</w:t>
      </w:r>
      <w:r>
        <w:t>,</w:t>
      </w:r>
      <w:r w:rsidRPr="0083367B">
        <w:t xml:space="preserve"> ao § 5º do artigo 1º</w:t>
      </w:r>
      <w:r>
        <w:t>,</w:t>
      </w:r>
      <w:r w:rsidRPr="0083367B">
        <w:t xml:space="preserve"> do indigitado Autógrafo de Lei, antecipo sinceros agradecimentos pelo imprescindível apoio, subscrevendo-me com especial estima e consideração.</w:t>
      </w:r>
    </w:p>
    <w:p w:rsidR="0061275B" w:rsidRDefault="0061275B" w:rsidP="0061275B">
      <w:pPr>
        <w:widowControl w:val="0"/>
        <w:tabs>
          <w:tab w:val="left" w:pos="8931"/>
        </w:tabs>
        <w:ind w:firstLine="2835"/>
        <w:jc w:val="both"/>
      </w:pPr>
    </w:p>
    <w:p w:rsidR="0061275B" w:rsidRPr="0083367B" w:rsidRDefault="0061275B" w:rsidP="0061275B">
      <w:pPr>
        <w:widowControl w:val="0"/>
        <w:tabs>
          <w:tab w:val="left" w:pos="8931"/>
        </w:tabs>
        <w:ind w:firstLine="2835"/>
        <w:jc w:val="both"/>
      </w:pPr>
    </w:p>
    <w:p w:rsidR="0061275B" w:rsidRPr="0061275B" w:rsidRDefault="0061275B" w:rsidP="0061275B">
      <w:pPr>
        <w:pStyle w:val="Corpodetexto2"/>
        <w:widowControl w:val="0"/>
        <w:tabs>
          <w:tab w:val="left" w:pos="8931"/>
        </w:tabs>
        <w:spacing w:after="0" w:line="240" w:lineRule="auto"/>
        <w:jc w:val="center"/>
        <w:rPr>
          <w:b/>
        </w:rPr>
      </w:pPr>
      <w:r w:rsidRPr="0061275B">
        <w:rPr>
          <w:b/>
        </w:rPr>
        <w:t>CONFÚCIO AIRES MOURA</w:t>
      </w:r>
    </w:p>
    <w:p w:rsidR="0061275B" w:rsidRPr="0061275B" w:rsidRDefault="0061275B" w:rsidP="0061275B">
      <w:pPr>
        <w:pStyle w:val="Corpodetexto2"/>
        <w:widowControl w:val="0"/>
        <w:tabs>
          <w:tab w:val="left" w:pos="8931"/>
        </w:tabs>
        <w:spacing w:after="0" w:line="240" w:lineRule="auto"/>
        <w:jc w:val="center"/>
      </w:pPr>
      <w:r w:rsidRPr="0061275B">
        <w:t>Governador</w:t>
      </w: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61275B" w:rsidRDefault="0061275B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</w:p>
    <w:p w:rsidR="00137501" w:rsidRDefault="00137501" w:rsidP="00317719">
      <w:pPr>
        <w:pStyle w:val="Ttulo1"/>
        <w:keepNext w:val="0"/>
        <w:widowControl w:val="0"/>
        <w:jc w:val="center"/>
        <w:rPr>
          <w:sz w:val="24"/>
          <w:szCs w:val="24"/>
        </w:rPr>
      </w:pPr>
      <w:bookmarkStart w:id="0" w:name="_GoBack"/>
      <w:bookmarkEnd w:id="0"/>
      <w:r w:rsidRPr="00137501">
        <w:rPr>
          <w:sz w:val="24"/>
          <w:szCs w:val="24"/>
        </w:rPr>
        <w:lastRenderedPageBreak/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41712">
        <w:rPr>
          <w:sz w:val="24"/>
          <w:szCs w:val="24"/>
        </w:rPr>
        <w:t xml:space="preserve"> </w:t>
      </w:r>
      <w:r w:rsidR="001B1F6F">
        <w:rPr>
          <w:sz w:val="24"/>
          <w:szCs w:val="24"/>
        </w:rPr>
        <w:t>3.498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41712">
        <w:rPr>
          <w:sz w:val="24"/>
          <w:szCs w:val="24"/>
        </w:rPr>
        <w:t xml:space="preserve"> </w:t>
      </w:r>
      <w:r w:rsidR="001B1F6F">
        <w:rPr>
          <w:sz w:val="24"/>
          <w:szCs w:val="24"/>
        </w:rPr>
        <w:t>30</w:t>
      </w:r>
      <w:r w:rsidR="00B4171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776D6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317719">
      <w:pPr>
        <w:widowControl w:val="0"/>
        <w:ind w:left="5103"/>
        <w:jc w:val="both"/>
      </w:pPr>
    </w:p>
    <w:p w:rsidR="00FB3C87" w:rsidRDefault="00317719" w:rsidP="00317719">
      <w:pPr>
        <w:widowControl w:val="0"/>
        <w:ind w:left="5103"/>
        <w:jc w:val="both"/>
      </w:pPr>
      <w:r w:rsidRPr="00317719">
        <w:rPr>
          <w:color w:val="000000"/>
        </w:rPr>
        <w:t>Institui o procedimento da descentralização de créditos orçamentários em matéria previdenciária</w:t>
      </w:r>
      <w:r w:rsidR="00011904" w:rsidRPr="00011904">
        <w:t>.</w:t>
      </w:r>
    </w:p>
    <w:p w:rsidR="00A05F3E" w:rsidRDefault="00A05F3E" w:rsidP="00317719">
      <w:pPr>
        <w:widowControl w:val="0"/>
        <w:ind w:left="5103"/>
        <w:jc w:val="both"/>
      </w:pPr>
    </w:p>
    <w:p w:rsidR="003208AF" w:rsidRPr="0046356F" w:rsidRDefault="003208AF" w:rsidP="00317719">
      <w:pPr>
        <w:pStyle w:val="xl27"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17719">
      <w:pPr>
        <w:widowControl w:val="0"/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Pr="00317719" w:rsidRDefault="003208AF" w:rsidP="00317719">
      <w:pPr>
        <w:widowControl w:val="0"/>
        <w:ind w:firstLine="567"/>
        <w:jc w:val="both"/>
        <w:rPr>
          <w:bCs/>
          <w:color w:val="000000"/>
          <w:sz w:val="20"/>
          <w:szCs w:val="20"/>
        </w:rPr>
      </w:pPr>
    </w:p>
    <w:p w:rsidR="00317719" w:rsidRPr="00B06866" w:rsidRDefault="00317719" w:rsidP="00317719">
      <w:pPr>
        <w:widowControl w:val="0"/>
        <w:ind w:firstLine="567"/>
        <w:jc w:val="both"/>
      </w:pPr>
      <w:r w:rsidRPr="00B06866">
        <w:rPr>
          <w:bCs/>
        </w:rPr>
        <w:t xml:space="preserve">Art. 1º. </w:t>
      </w:r>
      <w:r w:rsidRPr="00B06866">
        <w:t>Fica instituído o procedimento da descentralização de créditos orçamentários exclusivo em matéria previdenciária, com o objetivo de racionalizar o emprego dos recursos públicos, reduzir custos operacionais e otimizar a estrutura da Administração do Estado.</w:t>
      </w:r>
    </w:p>
    <w:p w:rsidR="00317719" w:rsidRPr="00317719" w:rsidRDefault="00317719" w:rsidP="00317719">
      <w:pPr>
        <w:widowControl w:val="0"/>
        <w:ind w:firstLine="600"/>
        <w:jc w:val="both"/>
        <w:rPr>
          <w:sz w:val="20"/>
          <w:szCs w:val="20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§ 1°. Entende-se por descentralização o procedimento por meio do qual um órgão ou entidade faz a transferência de créditos orçamentários para outro, todos pertencentes à mesma esfera de governo, que fica encarregado de executar ações pertencentes à unidade orçamentária descentralizadora dos créditos.</w:t>
      </w:r>
    </w:p>
    <w:p w:rsidR="00317719" w:rsidRPr="00317719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 xml:space="preserve">§ 2º. A descentralização de créditos orçamentários não caracteriza infringência à vedação contida no inciso VI do </w:t>
      </w:r>
      <w:r w:rsidRPr="00B06866">
        <w:rPr>
          <w:i/>
          <w:sz w:val="24"/>
          <w:szCs w:val="24"/>
        </w:rPr>
        <w:t>caput</w:t>
      </w:r>
      <w:r w:rsidRPr="00B06866">
        <w:rPr>
          <w:sz w:val="24"/>
          <w:szCs w:val="24"/>
        </w:rPr>
        <w:t xml:space="preserve"> do art. 167 da Constituição Federal.</w:t>
      </w:r>
    </w:p>
    <w:p w:rsidR="00317719" w:rsidRPr="00317719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 xml:space="preserve"> </w:t>
      </w:r>
      <w:r w:rsidRPr="00B06866">
        <w:rPr>
          <w:sz w:val="24"/>
          <w:szCs w:val="24"/>
        </w:rPr>
        <w:tab/>
        <w:t xml:space="preserve">§ 3°. Como forma de alcançar os objetivos previstos no </w:t>
      </w:r>
      <w:r w:rsidRPr="00B06866">
        <w:rPr>
          <w:i/>
          <w:sz w:val="24"/>
          <w:szCs w:val="24"/>
        </w:rPr>
        <w:t>caput</w:t>
      </w:r>
      <w:r w:rsidRPr="00B06866">
        <w:rPr>
          <w:sz w:val="24"/>
          <w:szCs w:val="24"/>
        </w:rPr>
        <w:t xml:space="preserve">, o procedimento da descentralização de créditos orçamentários de que trata o </w:t>
      </w:r>
      <w:r w:rsidRPr="00B06866">
        <w:rPr>
          <w:i/>
          <w:sz w:val="24"/>
          <w:szCs w:val="24"/>
        </w:rPr>
        <w:t xml:space="preserve">caput </w:t>
      </w:r>
      <w:r w:rsidRPr="00B06866">
        <w:rPr>
          <w:sz w:val="24"/>
          <w:szCs w:val="24"/>
        </w:rPr>
        <w:t>deste artigo, poderá envolver ou ser utilizado exclusivamente entre o Instituto de Previdência dos Servidores Públicos do Estado de Rondônia – IPERON e os Poderes Judiciário e Legislativo, Ministério Público, Tribunal de Contas e Defensoria Pública.</w:t>
      </w:r>
    </w:p>
    <w:p w:rsidR="00317719" w:rsidRPr="00317719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 xml:space="preserve">§ </w:t>
      </w:r>
      <w:r>
        <w:rPr>
          <w:sz w:val="24"/>
          <w:szCs w:val="24"/>
        </w:rPr>
        <w:t>4º</w:t>
      </w:r>
      <w:r w:rsidRPr="00B06866">
        <w:rPr>
          <w:sz w:val="24"/>
          <w:szCs w:val="24"/>
        </w:rPr>
        <w:t>. A descentralização de créditos orçamentários não implica em qualquer alteração na categoria de programação nem nos respectivos valores totais, aprovados pela Lei Orçamentária Anual.</w:t>
      </w:r>
    </w:p>
    <w:p w:rsidR="00317719" w:rsidRPr="00317719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§ 5º. VETADO.</w:t>
      </w:r>
    </w:p>
    <w:p w:rsidR="00317719" w:rsidRPr="00317719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 w:firstLine="900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5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Art. 2º. A descentralização do crédito orçamentário será efetuada pelo Órgão Titular do Crédito, através do Sistema de Administração Financeira para Estados e Municípios - SIAFEM, ou outro que venha a lhe substituir, mediante a emissão do documento “Nota de Descentralização de Crédito Orçamentário”, no qual se evidenciem as classificações orçamentárias e os valores descentralizados para o Órgão Gerenciador.</w:t>
      </w:r>
    </w:p>
    <w:p w:rsidR="00317719" w:rsidRPr="00317719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§ 1º. Entende-se por Órgão Gerenciador o órgão ou entidade que executa o crédito orçamentário descentralizado.</w:t>
      </w:r>
    </w:p>
    <w:p w:rsidR="00317719" w:rsidRPr="00317719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 xml:space="preserve">§ 2º. Entende-se por Órgão Titular do Crédito o órgão ou entidade detentora de crédito aprovado pela Lei Orçamentária Anual ou dos créditos adicionais. </w:t>
      </w:r>
    </w:p>
    <w:p w:rsidR="00317719" w:rsidRPr="00317719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 w:firstLine="900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Art. 3°. A descentralização de créditos orçamentários deve operar-se mediante anuência dos respectivos ordenadores de despesas do Órgão Titular do Crédito e do Órgão Gerenciador, materializada por intermédio de um termo de cooperação.</w:t>
      </w:r>
    </w:p>
    <w:p w:rsidR="00317719" w:rsidRPr="00317719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§ 1º. Considera-se Termo de Cooperação o instrumento por meio do qual são fixadas as condições para a descentralização de crédito orçamentário.</w:t>
      </w:r>
    </w:p>
    <w:p w:rsidR="00317719" w:rsidRPr="00317719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 xml:space="preserve">§ 2º. O procedimento a que se refere o </w:t>
      </w:r>
      <w:r w:rsidRPr="00B06866">
        <w:rPr>
          <w:i/>
          <w:sz w:val="24"/>
          <w:szCs w:val="24"/>
        </w:rPr>
        <w:t xml:space="preserve">caput </w:t>
      </w:r>
      <w:r w:rsidRPr="00B06866">
        <w:rPr>
          <w:sz w:val="24"/>
          <w:szCs w:val="24"/>
        </w:rPr>
        <w:t xml:space="preserve">deste artigo, quando autorizado em lei, dispensa a celebração de termo de cooperação ou instrumento congênere. </w:t>
      </w: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lastRenderedPageBreak/>
        <w:tab/>
        <w:t>Art. 4°. O Órgão Titular do Crédito deve orientar como e em que os recursos descentralizados devem ser empregados, a fim de observar, rigorosamente, os objetivos e metas previstos no plano plurianual, na lei de diretrizes orçamentárias e na Lei Orçamentária Anual.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 w:firstLine="900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Art. 5°. As despesas realizadas com os recursos orçamentários descentralizados serão executadas, obrigatoriamente, por meio de empenho, liquidação e pagamento, nos termos da Lei Federal nº 4.320, de 17 de março de 1964, e com a observância de todas as normas da Administração Pública.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 w:firstLine="900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 xml:space="preserve">Art. 6°. A responsabilidade pela correta aplicação dos recursos é do ordenador de despesa do Órgão Gerenciador. 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Parágrafo único. Os documentos comprobatórios da realização das despesas serão mantidos no Órgão Gerenciador para exame dos órgãos de controle interno e externo.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 w:firstLine="900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Art. 7°. As despesas realizadas por meio do procedimento previsto nesta Lei serão contabilizadas pelo Órgão Gerenciador.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 w:firstLine="900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Art. 8°. A descentralização de crédito orçamentário implica: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I - na liberação financeira dos Recursos do Tesouro do Estado diretamente ao Órgão Titular de Crédito;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II - na obrigatoriedade de o Órgão Titular do Crédito efetuar o repasse dos recursos financeiros, para o adimplemento dos compromissos assumidos, até o dia 20 de cada mês; e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III - na proibição de o Órgão Gerenciador dar destinação diversa aos recursos financeiros liberados.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§ 1°. Serão consideradas, para fins de observância da ordem cronológica dos pagamentos, as exigibilidades financeiras relacionadas com as obrigações de despesas já contraídas pelo Órgão Gerenciador.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§ 2°. Os recursos a que se refere o inciso II deste artigo, de natureza vinculada, como convênios e operações de crédito, somente poderão ser descentralizados se respectivamente nos termos do ajuste e nas leis houver expressa autorização para a utilização do procedimento previsto nesta Lei.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 w:firstLine="900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 xml:space="preserve">Art. 9º. O Órgão Gerenciador prestará contas ao Titular do Crédito Orçamentário, levando-se em consideração as disposições contidas no artigo 4º desta Lei e em regulamento. 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 w:firstLine="900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Art. 10. O Chefe do Poder Executivo regulamentará esta Lei no prazo de sessenta dias contados da sua publicação.</w:t>
      </w:r>
    </w:p>
    <w:p w:rsidR="00317719" w:rsidRPr="00B06866" w:rsidRDefault="00317719" w:rsidP="00317719">
      <w:pPr>
        <w:pStyle w:val="Padro"/>
        <w:tabs>
          <w:tab w:val="center" w:pos="4419"/>
          <w:tab w:val="left" w:pos="8460"/>
          <w:tab w:val="right" w:pos="8838"/>
        </w:tabs>
        <w:ind w:right="44" w:firstLine="900"/>
        <w:jc w:val="both"/>
        <w:rPr>
          <w:sz w:val="24"/>
          <w:szCs w:val="24"/>
        </w:rPr>
      </w:pPr>
    </w:p>
    <w:p w:rsidR="00317719" w:rsidRPr="00B06866" w:rsidRDefault="00317719" w:rsidP="00317719">
      <w:pPr>
        <w:pStyle w:val="Padro"/>
        <w:tabs>
          <w:tab w:val="clear" w:pos="708"/>
          <w:tab w:val="left" w:pos="567"/>
          <w:tab w:val="center" w:pos="4419"/>
          <w:tab w:val="left" w:pos="8460"/>
          <w:tab w:val="right" w:pos="8838"/>
        </w:tabs>
        <w:ind w:right="44"/>
        <w:jc w:val="both"/>
        <w:rPr>
          <w:sz w:val="24"/>
          <w:szCs w:val="24"/>
        </w:rPr>
      </w:pPr>
      <w:r w:rsidRPr="00B06866">
        <w:rPr>
          <w:sz w:val="24"/>
          <w:szCs w:val="24"/>
        </w:rPr>
        <w:tab/>
        <w:t>Art. 11. Esta Lei entra em vigor na data de sua publicação.</w:t>
      </w:r>
    </w:p>
    <w:p w:rsidR="00011904" w:rsidRPr="00FD44CC" w:rsidRDefault="00011904" w:rsidP="00317719">
      <w:pPr>
        <w:widowControl w:val="0"/>
        <w:ind w:firstLine="567"/>
        <w:jc w:val="both"/>
      </w:pPr>
    </w:p>
    <w:p w:rsidR="00137501" w:rsidRPr="0046356F" w:rsidRDefault="00137501" w:rsidP="00317719">
      <w:pPr>
        <w:widowControl w:val="0"/>
        <w:ind w:firstLine="567"/>
        <w:jc w:val="both"/>
      </w:pPr>
      <w:r w:rsidRPr="0046356F">
        <w:t>Palácio do Governo do Estado de Rondônia, em</w:t>
      </w:r>
      <w:r w:rsidR="00B41712">
        <w:t xml:space="preserve"> </w:t>
      </w:r>
      <w:r w:rsidR="001B1F6F">
        <w:t>30</w:t>
      </w:r>
      <w:r w:rsidR="00B41712">
        <w:t xml:space="preserve">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317719">
      <w:pPr>
        <w:widowControl w:val="0"/>
        <w:spacing w:line="0" w:lineRule="atLeast"/>
      </w:pPr>
      <w:r>
        <w:tab/>
      </w:r>
    </w:p>
    <w:p w:rsidR="00317719" w:rsidRPr="0046356F" w:rsidRDefault="00317719" w:rsidP="00317719">
      <w:pPr>
        <w:widowControl w:val="0"/>
        <w:spacing w:line="0" w:lineRule="atLeast"/>
      </w:pPr>
    </w:p>
    <w:p w:rsidR="00137501" w:rsidRPr="0046356F" w:rsidRDefault="00137501" w:rsidP="00317719">
      <w:pPr>
        <w:widowControl w:val="0"/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317719">
      <w:pPr>
        <w:widowControl w:val="0"/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137501" w:rsidRPr="0046356F" w:rsidSect="00426539">
      <w:headerReference w:type="default" r:id="rId8"/>
      <w:footerReference w:type="default" r:id="rId9"/>
      <w:pgSz w:w="11907" w:h="16840" w:code="9"/>
      <w:pgMar w:top="709" w:right="567" w:bottom="0" w:left="1134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DA" w:rsidRDefault="006A0EDA">
      <w:r>
        <w:separator/>
      </w:r>
    </w:p>
  </w:endnote>
  <w:endnote w:type="continuationSeparator" w:id="0">
    <w:p w:rsidR="006A0EDA" w:rsidRDefault="006A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1275B">
      <w:rPr>
        <w:noProof/>
      </w:rPr>
      <w:t>4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DA" w:rsidRDefault="006A0EDA">
      <w:r>
        <w:separator/>
      </w:r>
    </w:p>
  </w:footnote>
  <w:footnote w:type="continuationSeparator" w:id="0">
    <w:p w:rsidR="006A0EDA" w:rsidRDefault="006A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317719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5.9pt" o:ole="" fillcolor="window">
          <v:imagedata r:id="rId1" o:title=""/>
        </v:shape>
        <o:OLEObject Type="Embed" ProgID="Word.Picture.8" ShapeID="_x0000_i1025" DrawAspect="Content" ObjectID="_148145182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47C0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0F17"/>
    <w:rsid w:val="001A3ABD"/>
    <w:rsid w:val="001A797D"/>
    <w:rsid w:val="001B1F6F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17719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539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275B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0EDA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776D6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5F3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274E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C15E1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1D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18BA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1706C2-A1DA-4882-8E06-F7CD0CA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Padro">
    <w:name w:val="Padrão"/>
    <w:uiPriority w:val="99"/>
    <w:rsid w:val="00317719"/>
    <w:pPr>
      <w:widowControl w:val="0"/>
      <w:tabs>
        <w:tab w:val="left" w:pos="708"/>
      </w:tabs>
      <w:suppressAutoHyphens/>
    </w:pPr>
    <w:rPr>
      <w:rFonts w:cs="Mangal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61275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61275B"/>
    <w:rPr>
      <w:sz w:val="24"/>
      <w:szCs w:val="24"/>
    </w:rPr>
  </w:style>
  <w:style w:type="character" w:customStyle="1" w:styleId="f31">
    <w:name w:val="f31"/>
    <w:rsid w:val="0061275B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49B7-6505-42C7-924C-12C6C42C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2562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Usuário do Windows</cp:lastModifiedBy>
  <cp:revision>10</cp:revision>
  <cp:lastPrinted>2014-12-29T16:46:00Z</cp:lastPrinted>
  <dcterms:created xsi:type="dcterms:W3CDTF">2014-12-22T18:11:00Z</dcterms:created>
  <dcterms:modified xsi:type="dcterms:W3CDTF">2014-12-30T17:37:00Z</dcterms:modified>
</cp:coreProperties>
</file>