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Pr="00137501">
        <w:rPr>
          <w:sz w:val="24"/>
          <w:szCs w:val="24"/>
        </w:rPr>
        <w:t>N.</w:t>
      </w:r>
      <w:r w:rsidR="00D01AFC">
        <w:rPr>
          <w:sz w:val="24"/>
          <w:szCs w:val="24"/>
        </w:rPr>
        <w:t xml:space="preserve"> 3.447,</w:t>
      </w:r>
      <w:r w:rsidRPr="00137501">
        <w:rPr>
          <w:sz w:val="24"/>
          <w:szCs w:val="24"/>
        </w:rPr>
        <w:t xml:space="preserve"> DE</w:t>
      </w:r>
      <w:r w:rsidR="00D01AFC">
        <w:rPr>
          <w:sz w:val="24"/>
          <w:szCs w:val="24"/>
        </w:rPr>
        <w:t xml:space="preserve"> 15 </w:t>
      </w:r>
      <w:r w:rsidRPr="00137501">
        <w:rPr>
          <w:sz w:val="24"/>
          <w:szCs w:val="24"/>
        </w:rPr>
        <w:t>DE</w:t>
      </w:r>
      <w:r w:rsidR="00EC58D0">
        <w:rPr>
          <w:sz w:val="24"/>
          <w:szCs w:val="24"/>
        </w:rPr>
        <w:t xml:space="preserve"> </w:t>
      </w:r>
      <w:r w:rsidR="00BD50CF">
        <w:rPr>
          <w:sz w:val="24"/>
          <w:szCs w:val="24"/>
        </w:rPr>
        <w:t>SETEMBRO</w:t>
      </w:r>
      <w:r w:rsidR="00EC58D0">
        <w:rPr>
          <w:sz w:val="24"/>
          <w:szCs w:val="24"/>
        </w:rPr>
        <w:t xml:space="preserve"> </w:t>
      </w:r>
      <w:r w:rsidRPr="00137501">
        <w:rPr>
          <w:sz w:val="24"/>
          <w:szCs w:val="24"/>
        </w:rPr>
        <w:t>DE 2014.</w:t>
      </w:r>
    </w:p>
    <w:p w:rsidR="00AE4649" w:rsidRDefault="00AE4649" w:rsidP="00D10213"/>
    <w:p w:rsidR="00D10213" w:rsidRDefault="00D10213" w:rsidP="00D10213">
      <w:bookmarkStart w:id="0" w:name="_GoBack"/>
      <w:bookmarkEnd w:id="0"/>
      <w:r>
        <w:t>Alterações:</w:t>
      </w:r>
    </w:p>
    <w:p w:rsidR="00D10213" w:rsidRDefault="00772A66" w:rsidP="00D10213">
      <w:hyperlink r:id="rId8" w:history="1">
        <w:r w:rsidR="00D10213" w:rsidRPr="002A3262">
          <w:rPr>
            <w:rStyle w:val="Hyperlink"/>
          </w:rPr>
          <w:t>Alterada pela Lei n. 3.861, de 19/07/2016</w:t>
        </w:r>
      </w:hyperlink>
    </w:p>
    <w:p w:rsidR="00D10213" w:rsidRDefault="00D10213" w:rsidP="00D10213"/>
    <w:p w:rsidR="00435F93" w:rsidRPr="00435F93" w:rsidRDefault="00435F93" w:rsidP="00435F93">
      <w:pPr>
        <w:ind w:left="5103"/>
        <w:jc w:val="both"/>
      </w:pPr>
      <w:r w:rsidRPr="00435F93">
        <w:t>Dispõe sobre a criação do Conselho Estadual das Cidades do Estado de Rondônia – ConCidades/RO e dá outras providências.</w:t>
      </w:r>
    </w:p>
    <w:p w:rsidR="00904017" w:rsidRDefault="00904017"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Pr="0046356F">
        <w:t>:</w:t>
      </w:r>
    </w:p>
    <w:p w:rsidR="003208AF" w:rsidRDefault="003208AF" w:rsidP="003208AF">
      <w:pPr>
        <w:ind w:firstLine="567"/>
        <w:jc w:val="both"/>
        <w:rPr>
          <w:bCs/>
          <w:color w:val="000000"/>
        </w:rPr>
      </w:pPr>
    </w:p>
    <w:p w:rsidR="00435F93" w:rsidRPr="00435F93" w:rsidRDefault="00435F93" w:rsidP="00435F93">
      <w:pPr>
        <w:ind w:firstLine="600"/>
        <w:jc w:val="center"/>
        <w:rPr>
          <w:bCs/>
          <w:color w:val="000000"/>
        </w:rPr>
      </w:pPr>
      <w:r w:rsidRPr="00435F93">
        <w:rPr>
          <w:bCs/>
          <w:color w:val="000000"/>
        </w:rPr>
        <w:t>CAPÍTULO I</w:t>
      </w:r>
    </w:p>
    <w:p w:rsidR="00435F93" w:rsidRPr="00435F93" w:rsidRDefault="00435F93" w:rsidP="00435F93">
      <w:pPr>
        <w:ind w:firstLine="600"/>
        <w:jc w:val="center"/>
        <w:rPr>
          <w:bCs/>
          <w:color w:val="000000"/>
        </w:rPr>
      </w:pPr>
      <w:r w:rsidRPr="00435F93">
        <w:rPr>
          <w:bCs/>
          <w:color w:val="000000"/>
        </w:rPr>
        <w:t>DAS DISPOSIÇÕES GERAIS</w:t>
      </w:r>
    </w:p>
    <w:p w:rsidR="00435F93" w:rsidRPr="00435F93" w:rsidRDefault="00435F93" w:rsidP="00435F93">
      <w:pPr>
        <w:ind w:firstLine="600"/>
        <w:jc w:val="both"/>
        <w:rPr>
          <w:bCs/>
          <w:color w:val="000000"/>
        </w:rPr>
      </w:pPr>
      <w:r w:rsidRPr="00435F93">
        <w:rPr>
          <w:bCs/>
          <w:color w:val="000000"/>
        </w:rPr>
        <w:tab/>
      </w:r>
    </w:p>
    <w:p w:rsidR="00435F93" w:rsidRPr="00D761A3" w:rsidRDefault="00435F93" w:rsidP="00435F93">
      <w:pPr>
        <w:ind w:firstLine="567"/>
        <w:jc w:val="both"/>
        <w:rPr>
          <w:bCs/>
          <w:strike/>
          <w:color w:val="000000"/>
        </w:rPr>
      </w:pPr>
      <w:r w:rsidRPr="00D761A3">
        <w:rPr>
          <w:bCs/>
          <w:strike/>
          <w:color w:val="000000"/>
        </w:rPr>
        <w:t xml:space="preserve">Art. 1º. Fica criado o Conselho Estadual das Cidades de Rondônia – ConCidades/RO, na estrutura da Secretaria de Estado do Planejamento, Orçamento e Gestão – SEPOG, nos termos do artigo 62, inciso II, alínea “e”, da Lei Complementar nº 733, de 10 de outubro de 2013, órgão colegiado de natureza permanente, de caráter deliberativo, consultivo, propositivo e fiscalizador, formado por representantes do Poder Público e da sociedade civil organizada, e articulado com o Ministério das Cidades, por meio do Conselho Nacional das Cidades. </w:t>
      </w:r>
    </w:p>
    <w:p w:rsidR="00435F93" w:rsidRDefault="00435F93" w:rsidP="00435F93">
      <w:pPr>
        <w:ind w:firstLine="600"/>
        <w:jc w:val="both"/>
        <w:rPr>
          <w:bCs/>
          <w:color w:val="000000"/>
        </w:rPr>
      </w:pPr>
    </w:p>
    <w:p w:rsidR="00D761A3" w:rsidRDefault="00D761A3" w:rsidP="00435F93">
      <w:pPr>
        <w:ind w:firstLine="600"/>
        <w:jc w:val="both"/>
        <w:rPr>
          <w:bCs/>
          <w:color w:val="000000"/>
        </w:rPr>
      </w:pPr>
      <w:r w:rsidRPr="008B5159">
        <w:t>Art. 1º. Fica criado o Conselho Estadual das Cidades de Rondônia - ConCidades/RO, vinculado à estrutura da Secretaria de Estado da Assistência e do Desenvolvimento Social - SEAS, Órgão colegiado de natureza permanente, de caráter consultivo, propositivo e fiscalizador, formado por representantes do Poder Público e da sociedade civil organizada, e articulado com o Ministério das Cidades, por meio do Conselho Nacional das Cidades.</w:t>
      </w:r>
      <w:r w:rsidRPr="00D761A3">
        <w:t xml:space="preserve"> </w:t>
      </w:r>
      <w:r w:rsidRPr="00D761A3">
        <w:rPr>
          <w:b/>
        </w:rPr>
        <w:t>(Redação dada pela Lei n. 3.861, de 19/07/2016)</w:t>
      </w:r>
    </w:p>
    <w:p w:rsidR="00D761A3" w:rsidRPr="00435F93" w:rsidRDefault="00D761A3" w:rsidP="00435F93">
      <w:pPr>
        <w:ind w:firstLine="600"/>
        <w:jc w:val="both"/>
        <w:rPr>
          <w:bCs/>
          <w:color w:val="000000"/>
        </w:rPr>
      </w:pPr>
    </w:p>
    <w:p w:rsidR="00435F93" w:rsidRPr="00435F93" w:rsidRDefault="00435F93" w:rsidP="00435F93">
      <w:pPr>
        <w:ind w:firstLine="600"/>
        <w:jc w:val="center"/>
        <w:rPr>
          <w:bCs/>
          <w:color w:val="000000"/>
        </w:rPr>
      </w:pPr>
      <w:r w:rsidRPr="00435F93">
        <w:rPr>
          <w:bCs/>
          <w:color w:val="000000"/>
        </w:rPr>
        <w:t>CAPÍTULO II</w:t>
      </w:r>
    </w:p>
    <w:p w:rsidR="00435F93" w:rsidRPr="00435F93" w:rsidRDefault="00435F93" w:rsidP="00435F93">
      <w:pPr>
        <w:ind w:firstLine="600"/>
        <w:jc w:val="center"/>
        <w:rPr>
          <w:bCs/>
          <w:color w:val="000000"/>
        </w:rPr>
      </w:pPr>
      <w:r w:rsidRPr="00435F93">
        <w:rPr>
          <w:bCs/>
          <w:color w:val="000000"/>
        </w:rPr>
        <w:t>DAS FINALIDADES E COMPETÊNCIAS</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 xml:space="preserve">Art. 2º. O ConCidades/RO tem por finalidades debater, avaliar, fiscalizar, formular, propor e deliberar diretrizes, planos, programas e projetos para a política estadual de desenvolvimento urbano, de acordo com os artigos 158 e 159 da Constituição Estadual, bem como monitorar, avaliar a execução dos programas, exercendo a integração e o controle social das políticas específicas de habitação, gestão fundiária, saneamento ambiental, planejamento e gestão territorial e de mobilidade e acessibilidade urbana que a compõem. </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 xml:space="preserve">Art. 3º. Compete ao Conselho Estadual das Cidades de Rondônia - ConCidades/RO: </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I - debater, avaliar, fiscalizar, formular, propor e deliberar diretrizes, planos, programas e projetos para a política estadual de desenvolvimento urbano e respectivas políticas setoriais, em consonância com as deliberações da Conferência Estadual das Cidades;</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lastRenderedPageBreak/>
        <w:t xml:space="preserve">II - monitorar e avaliar a execução e a gestão da política estadual de desenvolvimento urbano e de seus respectivos planos, programas, projetos, ações e atividades, bem como recomendar as providências necessárias ao cumprimento de seus objetivos com eficácia e efetividade; </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III - estimular a ampliação e o aperfeiçoamento dos mecanismos de participação e controle social, por intermédio de rede estadual de órgãos colegiados municipais e/ou regionais de desenvolvimento urbano, priorizando repasses, convênios e parcerias em função da instalação e funcionamento de conselhos e a utilização de instrumentos de política urbana;</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 xml:space="preserve">IV - fomentar e incentivar a criação de Conselhos Municipais das Cidades; </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V - apoiar e capacitar os Conselhos Municipais das Cidades, fomentando a articulação com o Sistema Nacional de Desenvolvimento Urbano;</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VI - realizar cursos, oficinas, debates, simpósios e seminários com diversos segmentos da sociedade buscando a disseminação da informação e a formação continuada;</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 xml:space="preserve">VII - responsabilizar-se, juntamente com o Poder Executivo, pela convocação, organização e coordenação da Conferência Estadual das Cidades e por sua integração com as Conferências Municipais e Regionais das Cidades, bem como pelo cumprimento das resoluções emanadas dessa instância privilegiada; </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VIII - emitir orientações e recomendações referentes à aplicação da Lei Federal nº 10.257, de 10 de julho de 2001 e demais legislações e atos normativos relacionados ao desenvolvimento urbano;</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 xml:space="preserve">IX - elaborar e aprovar seu Regimento Interno, sua forma de organização e representação e decidir sobre suas alterações propostas por seus membros, através de resoluções; </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X - tornar público e divulgar seus trabalhos e estudos e emitir resoluções de assuntos afetos à sua área de atuação, publicando no Diário Oficial do Estado;</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 xml:space="preserve">XI - orientar a utilização dos instrumentos da política urbana que combatam a exclusão socioespacial, racial e de povos e comunidades tradicionais; </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XII - coordenar o processo participativo de elaboração e execução do plano diretor; e</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 xml:space="preserve">XIII - debater a elaboração e execução do orçamento público, Plano Plurianual (PPA), Lei de Diretrizes Orçamentárias (LDO), Lei Orçamentária Anual (LOA) e planejamento participativo de forma integrada. </w:t>
      </w:r>
    </w:p>
    <w:p w:rsidR="00435F93" w:rsidRPr="00435F93" w:rsidRDefault="00435F93" w:rsidP="00435F93">
      <w:pPr>
        <w:ind w:firstLine="600"/>
        <w:jc w:val="both"/>
        <w:rPr>
          <w:bCs/>
          <w:color w:val="000000"/>
        </w:rPr>
      </w:pPr>
    </w:p>
    <w:p w:rsidR="00435F93" w:rsidRPr="00435F93" w:rsidRDefault="00435F93" w:rsidP="00435F93">
      <w:pPr>
        <w:ind w:firstLine="600"/>
        <w:jc w:val="center"/>
        <w:rPr>
          <w:bCs/>
          <w:color w:val="000000"/>
        </w:rPr>
      </w:pPr>
      <w:r w:rsidRPr="00435F93">
        <w:rPr>
          <w:bCs/>
          <w:color w:val="000000"/>
        </w:rPr>
        <w:t>CAPÍTULO III</w:t>
      </w:r>
    </w:p>
    <w:p w:rsidR="00435F93" w:rsidRPr="00435F93" w:rsidRDefault="00435F93" w:rsidP="00435F93">
      <w:pPr>
        <w:ind w:firstLine="600"/>
        <w:jc w:val="center"/>
        <w:rPr>
          <w:bCs/>
          <w:color w:val="000000"/>
        </w:rPr>
      </w:pPr>
      <w:r w:rsidRPr="00435F93">
        <w:rPr>
          <w:bCs/>
          <w:color w:val="000000"/>
        </w:rPr>
        <w:t>DA COMPOSIÇÃO</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Art. 4º. O ConCidades/RO terá representação proporcional dos diversos segmentos, conforme deliberado em conferência Estadual das Cidades correspondendo a 39 membros: 42,3% (quarenta e dois vírgula três por cento) do Poder Público; 26,7% (vinte e seis vírgula sete por cento) do movimento social e popular; 9,9% (nove vírgula nove por cento) dos trabalhadores; 9,9% (nove vírgula nove por cento) das entidades empresariais; 7% (sete por cento) das entidades profissionais, acadêmicas e de pesquisa) e 4,2% (quatro vírgula dois por cento) das organizações não governamentais com a seguinte composição:</w:t>
      </w:r>
    </w:p>
    <w:p w:rsidR="00435F93" w:rsidRPr="00435F93" w:rsidRDefault="00435F93" w:rsidP="00435F93">
      <w:pPr>
        <w:ind w:firstLine="600"/>
        <w:jc w:val="both"/>
        <w:rPr>
          <w:bCs/>
          <w:color w:val="000000"/>
        </w:rPr>
      </w:pPr>
    </w:p>
    <w:p w:rsidR="00435F93" w:rsidRPr="00D761A3" w:rsidRDefault="00435F93" w:rsidP="00435F93">
      <w:pPr>
        <w:ind w:firstLine="567"/>
        <w:jc w:val="both"/>
        <w:rPr>
          <w:bCs/>
          <w:strike/>
          <w:color w:val="000000"/>
        </w:rPr>
      </w:pPr>
      <w:r w:rsidRPr="00D761A3">
        <w:rPr>
          <w:bCs/>
          <w:strike/>
          <w:color w:val="000000"/>
        </w:rPr>
        <w:t>I - o Secretário de Estado do Planejamento Orçamento, e Gestão, que o presidirá;</w:t>
      </w:r>
    </w:p>
    <w:p w:rsidR="00435F93" w:rsidRDefault="00435F93" w:rsidP="00435F93">
      <w:pPr>
        <w:ind w:firstLine="600"/>
        <w:jc w:val="both"/>
        <w:rPr>
          <w:bCs/>
          <w:color w:val="000000"/>
        </w:rPr>
      </w:pPr>
    </w:p>
    <w:p w:rsidR="00D761A3" w:rsidRPr="00D761A3" w:rsidRDefault="00D761A3" w:rsidP="00435F93">
      <w:pPr>
        <w:ind w:firstLine="600"/>
        <w:jc w:val="both"/>
        <w:rPr>
          <w:b/>
          <w:bCs/>
          <w:color w:val="000000"/>
        </w:rPr>
      </w:pPr>
      <w:r w:rsidRPr="008B5159">
        <w:t>I - o Secretário de Estado da Assistência e do Desenvolvimento Social, que o presidirá;</w:t>
      </w:r>
      <w:r w:rsidRPr="00D761A3">
        <w:t xml:space="preserve"> </w:t>
      </w:r>
      <w:r w:rsidRPr="00D761A3">
        <w:rPr>
          <w:b/>
        </w:rPr>
        <w:t>(Redação dada pela Lei n. 3.861, de 19/07/2016)</w:t>
      </w:r>
    </w:p>
    <w:p w:rsidR="00D761A3" w:rsidRPr="00435F93" w:rsidRDefault="00D761A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II - quatro representantes do Poder Público Estadual, indicado pelo Chefe do Poder Executivo Estadual;</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III - quatro representantes do Poder Legislativo, sendo dois representantes do Poder Legislativo Estadual e dois do Legislativo Municipal indicados por seus respectivos pares e seus Presidentes;</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IV - um representante do Poder Público Federal;</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V - seis representantes do Poder Público Municipal ou de entidades representativas deste segmento;</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VI - dez representantes de entidades do movimento popular e social;</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VII - quatro representantes de entidades da área empresarial;</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VIII - quatro representantes de entidades da área de trabalhadores;</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IX - três representantes de entidades da área profissional, acadêmica e de pesquisa; e</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X – dois representantes de organizações não governamentais.</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 1º. Todos os membros e entidades devem estar vinculados às questões de desenvolvimento urbano.</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 2</w:t>
      </w:r>
      <w:r w:rsidRPr="00435F93">
        <w:rPr>
          <w:bCs/>
          <w:color w:val="000000"/>
          <w:vertAlign w:val="superscript"/>
        </w:rPr>
        <w:t>o</w:t>
      </w:r>
      <w:r w:rsidRPr="00435F93">
        <w:rPr>
          <w:bCs/>
          <w:color w:val="000000"/>
        </w:rPr>
        <w:t>. Os membros do Conselho serão substituídos, em suas ausências e impedimentos, pelos respectivos suplentes.</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 3</w:t>
      </w:r>
      <w:r w:rsidRPr="00435F93">
        <w:rPr>
          <w:bCs/>
          <w:color w:val="000000"/>
          <w:vertAlign w:val="superscript"/>
        </w:rPr>
        <w:t>o</w:t>
      </w:r>
      <w:r w:rsidRPr="00435F93">
        <w:rPr>
          <w:bCs/>
          <w:color w:val="000000"/>
        </w:rPr>
        <w:t>. Os representantes a que se refere o inciso II deste artigo devem contemplar as áreas de habitação, obras públicas, saneamento, água, esgoto e planejamento.</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 4</w:t>
      </w:r>
      <w:r w:rsidRPr="00435F93">
        <w:rPr>
          <w:bCs/>
          <w:color w:val="000000"/>
          <w:vertAlign w:val="superscript"/>
        </w:rPr>
        <w:t>o</w:t>
      </w:r>
      <w:r w:rsidRPr="00435F93">
        <w:rPr>
          <w:bCs/>
          <w:color w:val="000000"/>
        </w:rPr>
        <w:t>. Os membros titulares e suplentes representantes das entidades e órgãos serão eleitos na Conferência Estadual das Cidades, entre os delegados presentes de seus respectivos segmentos.</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 5</w:t>
      </w:r>
      <w:r w:rsidRPr="00435F93">
        <w:rPr>
          <w:bCs/>
          <w:color w:val="000000"/>
          <w:vertAlign w:val="superscript"/>
        </w:rPr>
        <w:t>o</w:t>
      </w:r>
      <w:r w:rsidRPr="00435F93">
        <w:rPr>
          <w:bCs/>
          <w:color w:val="000000"/>
        </w:rPr>
        <w:t>. Os representantes do Poder Público Municipal serão eleitos na Conferência Estadual das Cidades entre os delegados presentes deste segmento e estarão distribuídos regionalmente entre as diferentes unidades de planejamento do Estado, observadas as 10 macrorregiões de planejamento conforme a Lei Complementar nº 414, de 28 de fevereiro de 2007.</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Art. 5</w:t>
      </w:r>
      <w:r w:rsidRPr="00435F93">
        <w:rPr>
          <w:bCs/>
          <w:color w:val="000000"/>
          <w:vertAlign w:val="superscript"/>
        </w:rPr>
        <w:t>o</w:t>
      </w:r>
      <w:r w:rsidRPr="00435F93">
        <w:rPr>
          <w:bCs/>
          <w:color w:val="000000"/>
        </w:rPr>
        <w:t>. O mandato dos membros titulares e suplentes do ConCidades/RO, será de 3 (três) anos, conforme a periodicidade das Conferências Estaduais das Cidades.</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Art. 6</w:t>
      </w:r>
      <w:r w:rsidRPr="00435F93">
        <w:rPr>
          <w:bCs/>
          <w:color w:val="000000"/>
          <w:vertAlign w:val="superscript"/>
        </w:rPr>
        <w:t>o</w:t>
      </w:r>
      <w:r w:rsidRPr="00435F93">
        <w:rPr>
          <w:bCs/>
          <w:color w:val="000000"/>
        </w:rPr>
        <w:t>. A participação no Conselho Estadual das Cidades de Rondônia e nos Comitês Técnicos será considerada função de relevante interesse público não remunerada.</w:t>
      </w:r>
    </w:p>
    <w:p w:rsidR="00435F93" w:rsidRPr="00435F93" w:rsidRDefault="00435F93" w:rsidP="00435F93">
      <w:pPr>
        <w:ind w:firstLine="600"/>
        <w:jc w:val="both"/>
        <w:rPr>
          <w:bCs/>
          <w:color w:val="000000"/>
        </w:rPr>
      </w:pPr>
    </w:p>
    <w:p w:rsidR="00435F93" w:rsidRPr="00D761A3" w:rsidRDefault="00435F93" w:rsidP="00435F93">
      <w:pPr>
        <w:ind w:firstLine="567"/>
        <w:jc w:val="both"/>
        <w:rPr>
          <w:bCs/>
          <w:strike/>
          <w:color w:val="000000"/>
        </w:rPr>
      </w:pPr>
      <w:r w:rsidRPr="00D761A3">
        <w:rPr>
          <w:bCs/>
          <w:strike/>
          <w:color w:val="000000"/>
        </w:rPr>
        <w:lastRenderedPageBreak/>
        <w:t>Parágrafo único. Será garantida as despesas de deslocamento, hospedagem e alimentação aos conselheiros e conselheiras nas reuniões ordinárias e quando se fizer necessário com dotações orçamentárias da Secretaria de Planejamento, Orçamento e Gestão - SEPOG/RO, conforme disponibilização orçamentária e financeira do Poder Executivo.</w:t>
      </w:r>
    </w:p>
    <w:p w:rsidR="00435F93" w:rsidRDefault="00435F93" w:rsidP="00435F93">
      <w:pPr>
        <w:ind w:firstLine="600"/>
        <w:jc w:val="both"/>
        <w:rPr>
          <w:bCs/>
          <w:color w:val="000000"/>
        </w:rPr>
      </w:pPr>
    </w:p>
    <w:p w:rsidR="00D761A3" w:rsidRPr="00D761A3" w:rsidRDefault="00D761A3" w:rsidP="00435F93">
      <w:pPr>
        <w:ind w:firstLine="600"/>
        <w:jc w:val="both"/>
        <w:rPr>
          <w:b/>
          <w:bCs/>
          <w:color w:val="000000"/>
        </w:rPr>
      </w:pPr>
      <w:r w:rsidRPr="008B5159">
        <w:t>Parágrafo único. Serão garantidas as despesas de deslocamento, hospedagem e alimentação aos Conselheiros e Conselheiras quando convocados pelo Presidente do ConCidades/RO e de acordo com a disponibilidade orçamentária da Secretaria de Estado da Assistência e do Desenvolvimento Social - SEAS.</w:t>
      </w:r>
      <w:r w:rsidRPr="00D761A3">
        <w:t xml:space="preserve"> </w:t>
      </w:r>
      <w:r w:rsidRPr="00D761A3">
        <w:rPr>
          <w:b/>
        </w:rPr>
        <w:t>(Redação dada pela Lei n. 3.861, de 19/07/2016)</w:t>
      </w:r>
    </w:p>
    <w:p w:rsidR="00D761A3" w:rsidRPr="00435F93" w:rsidRDefault="00D761A3" w:rsidP="00435F93">
      <w:pPr>
        <w:ind w:firstLine="600"/>
        <w:jc w:val="both"/>
        <w:rPr>
          <w:bCs/>
          <w:color w:val="000000"/>
        </w:rPr>
      </w:pPr>
    </w:p>
    <w:p w:rsidR="00435F93" w:rsidRPr="00435F93" w:rsidRDefault="00435F93" w:rsidP="00435F93">
      <w:pPr>
        <w:ind w:firstLine="600"/>
        <w:jc w:val="center"/>
        <w:rPr>
          <w:bCs/>
          <w:color w:val="000000"/>
        </w:rPr>
      </w:pPr>
      <w:r w:rsidRPr="00435F93">
        <w:rPr>
          <w:bCs/>
          <w:color w:val="000000"/>
        </w:rPr>
        <w:t>CAPÍTULO IV</w:t>
      </w:r>
    </w:p>
    <w:p w:rsidR="00435F93" w:rsidRPr="00435F93" w:rsidRDefault="00435F93" w:rsidP="00435F93">
      <w:pPr>
        <w:ind w:firstLine="600"/>
        <w:jc w:val="center"/>
        <w:rPr>
          <w:bCs/>
          <w:color w:val="000000"/>
        </w:rPr>
      </w:pPr>
      <w:r w:rsidRPr="00435F93">
        <w:rPr>
          <w:bCs/>
          <w:color w:val="000000"/>
        </w:rPr>
        <w:t>DA ESTRUTURA</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Art. 7º.</w:t>
      </w:r>
      <w:r w:rsidRPr="00435F93">
        <w:rPr>
          <w:bCs/>
          <w:i/>
          <w:iCs/>
          <w:color w:val="000000"/>
        </w:rPr>
        <w:t xml:space="preserve"> </w:t>
      </w:r>
      <w:r w:rsidRPr="00435F93">
        <w:rPr>
          <w:bCs/>
          <w:color w:val="000000"/>
        </w:rPr>
        <w:t>O ConCidades/RO terá a seguinte estrutura básica:</w:t>
      </w:r>
    </w:p>
    <w:p w:rsid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I</w:t>
      </w:r>
      <w:r w:rsidRPr="00435F93">
        <w:rPr>
          <w:bCs/>
          <w:color w:val="000000"/>
        </w:rPr>
        <w:tab/>
        <w:t>- Plenário;</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II - Presidência;</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III - Secretaria Executiva;</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IV - Comitês Técnicos:</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a) Comitê de Habitação e Política Fundiária;</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b) Comitê de Saneamento Ambiental;</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c) Comitê de Mobilidade Urbana; e</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d) Comitê de Planejamento e Gestão Territorial Urbana.</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 1</w:t>
      </w:r>
      <w:r w:rsidRPr="00435F93">
        <w:rPr>
          <w:bCs/>
          <w:color w:val="000000"/>
          <w:vertAlign w:val="superscript"/>
        </w:rPr>
        <w:t>o</w:t>
      </w:r>
      <w:r w:rsidRPr="00435F93">
        <w:rPr>
          <w:bCs/>
          <w:color w:val="000000"/>
        </w:rPr>
        <w:t>. Os Comitês Técnicos serão compostos por conselheiros titulares e suplentes e poderão ser convidados especialistas e técnicos para participarem de temas específicos.</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 2°. A composição dos comitês deverá observar diferentes categorias de representação integrantes do plenário do conselho estadual.</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 3</w:t>
      </w:r>
      <w:r w:rsidRPr="00435F93">
        <w:rPr>
          <w:bCs/>
          <w:color w:val="000000"/>
          <w:vertAlign w:val="superscript"/>
        </w:rPr>
        <w:t>o</w:t>
      </w:r>
      <w:r w:rsidRPr="00435F93">
        <w:rPr>
          <w:bCs/>
          <w:color w:val="000000"/>
        </w:rPr>
        <w:t>. Podem ser criados novos Comitês Técnicos, em caráter permanente ou provisório.</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Art. 8</w:t>
      </w:r>
      <w:r w:rsidRPr="00435F93">
        <w:rPr>
          <w:bCs/>
          <w:color w:val="000000"/>
          <w:vertAlign w:val="superscript"/>
        </w:rPr>
        <w:t>o</w:t>
      </w:r>
      <w:r w:rsidRPr="00435F93">
        <w:rPr>
          <w:bCs/>
          <w:color w:val="000000"/>
        </w:rPr>
        <w:t>. São atribuições gerais dos Comitês Técnicos:</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 xml:space="preserve">I – discutir e emitir parecer sobre as questões temáticas de sua área e preparar as discussões e deliberações do Conselho; </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II – promover articulação com os movimentos sociais, órgãos e entidades promotoras de estudos, propostas e tecnologias relacionadas à Política Estadual de desenvolvimento Urbano e respectivas políticas setoriais.</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Art. 9</w:t>
      </w:r>
      <w:r w:rsidRPr="00435F93">
        <w:rPr>
          <w:bCs/>
          <w:color w:val="000000"/>
          <w:vertAlign w:val="superscript"/>
        </w:rPr>
        <w:t>o</w:t>
      </w:r>
      <w:r w:rsidRPr="00435F93">
        <w:rPr>
          <w:bCs/>
          <w:color w:val="000000"/>
        </w:rPr>
        <w:t>. As reuniões do ConCidades poderão ser convocadas pelo seu Presidente ou por 20% (vinte por cento) dos seus membros, com representação mínima de quatro segmentos diferentes.</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Art. 10. O Governador do Estado convocará e dará posse aos membros do ConCidades/RO, no prazo de 30 (trinta) dias após a publicação desta Lei.</w:t>
      </w:r>
    </w:p>
    <w:p w:rsidR="00435F93" w:rsidRPr="00435F93" w:rsidRDefault="00435F93" w:rsidP="00435F93">
      <w:pPr>
        <w:ind w:firstLine="600"/>
        <w:jc w:val="both"/>
        <w:rPr>
          <w:bCs/>
          <w:color w:val="000000"/>
        </w:rPr>
      </w:pPr>
    </w:p>
    <w:p w:rsidR="00435F93" w:rsidRPr="00435F93" w:rsidRDefault="00435F93" w:rsidP="00435F93">
      <w:pPr>
        <w:ind w:firstLine="600"/>
        <w:jc w:val="center"/>
        <w:rPr>
          <w:bCs/>
          <w:color w:val="000000"/>
        </w:rPr>
      </w:pPr>
      <w:r w:rsidRPr="00435F93">
        <w:rPr>
          <w:bCs/>
          <w:color w:val="000000"/>
        </w:rPr>
        <w:t>CAPÍTULO V</w:t>
      </w:r>
    </w:p>
    <w:p w:rsidR="00435F93" w:rsidRPr="00435F93" w:rsidRDefault="00435F93" w:rsidP="00435F93">
      <w:pPr>
        <w:ind w:firstLine="600"/>
        <w:jc w:val="center"/>
        <w:rPr>
          <w:bCs/>
          <w:color w:val="000000"/>
        </w:rPr>
      </w:pPr>
      <w:r w:rsidRPr="00435F93">
        <w:rPr>
          <w:bCs/>
          <w:color w:val="000000"/>
        </w:rPr>
        <w:t>DAS DISPOSIÇÕES FINAIS</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Art. 11. O ConCidades/RO deverá aprovar seu Regimento Interno, no prazo máximo de 60 (sessenta) dias após sua instalação.</w:t>
      </w:r>
    </w:p>
    <w:p w:rsidR="00435F93" w:rsidRPr="00435F93" w:rsidRDefault="00435F93" w:rsidP="00435F93">
      <w:pPr>
        <w:ind w:firstLine="600"/>
        <w:jc w:val="both"/>
        <w:rPr>
          <w:bCs/>
          <w:color w:val="000000"/>
        </w:rPr>
      </w:pPr>
    </w:p>
    <w:p w:rsidR="00435F93" w:rsidRPr="00FD6E88" w:rsidRDefault="00435F93" w:rsidP="00435F93">
      <w:pPr>
        <w:ind w:firstLine="567"/>
        <w:jc w:val="both"/>
        <w:rPr>
          <w:bCs/>
          <w:strike/>
          <w:color w:val="000000"/>
        </w:rPr>
      </w:pPr>
      <w:r w:rsidRPr="00FD6E88">
        <w:rPr>
          <w:bCs/>
          <w:strike/>
          <w:color w:val="000000"/>
        </w:rPr>
        <w:t>Art. 12. Caberá à SEPOG prover o apoio administrativo, técnico e financeiro e os meios necessários à execução dos trabalhos do ConCidades/RO, exercendo as atribuições de Secretaria Executiva da referida instância.</w:t>
      </w:r>
    </w:p>
    <w:p w:rsidR="00435F93" w:rsidRPr="00FD6E88" w:rsidRDefault="00435F93" w:rsidP="00435F93">
      <w:pPr>
        <w:ind w:firstLine="600"/>
        <w:jc w:val="both"/>
        <w:rPr>
          <w:bCs/>
          <w:strike/>
          <w:color w:val="000000"/>
        </w:rPr>
      </w:pPr>
    </w:p>
    <w:p w:rsidR="00435F93" w:rsidRPr="00FD6E88" w:rsidRDefault="00435F93" w:rsidP="00435F93">
      <w:pPr>
        <w:ind w:firstLine="567"/>
        <w:jc w:val="both"/>
        <w:rPr>
          <w:bCs/>
          <w:strike/>
          <w:color w:val="000000"/>
        </w:rPr>
      </w:pPr>
      <w:r w:rsidRPr="00FD6E88">
        <w:rPr>
          <w:bCs/>
          <w:strike/>
          <w:color w:val="000000"/>
        </w:rPr>
        <w:t>Parágrafo único. A SEPOG designará técnicos e meios exclusivos para exercer a função de Secretaria Executiva do ConCidades.</w:t>
      </w:r>
    </w:p>
    <w:p w:rsidR="00435F93" w:rsidRDefault="00435F93" w:rsidP="00435F93">
      <w:pPr>
        <w:ind w:firstLine="600"/>
        <w:jc w:val="both"/>
        <w:rPr>
          <w:bCs/>
          <w:color w:val="000000"/>
        </w:rPr>
      </w:pPr>
    </w:p>
    <w:p w:rsidR="00FD6E88" w:rsidRPr="00FD6E88" w:rsidRDefault="00FD6E88" w:rsidP="00FD6E88">
      <w:pPr>
        <w:spacing w:line="200" w:lineRule="atLeast"/>
        <w:ind w:firstLine="567"/>
        <w:jc w:val="both"/>
        <w:rPr>
          <w:b/>
        </w:rPr>
      </w:pPr>
      <w:r w:rsidRPr="008B5159">
        <w:t>Art. 12. Caberá à SEAS prover o apoio administrativo, técnico e financeiro e os meios necessários à execução dos trabalhos do ConCidades/RO, exercendo as atribuições de Secretaria Executiva.</w:t>
      </w:r>
      <w:r w:rsidRPr="00FD6E88">
        <w:t xml:space="preserve"> </w:t>
      </w:r>
      <w:r w:rsidRPr="00FD6E88">
        <w:rPr>
          <w:b/>
        </w:rPr>
        <w:t>(Redação dada pela Lei n. 3.861, de 19/07/2016)</w:t>
      </w:r>
    </w:p>
    <w:p w:rsidR="00FD6E88" w:rsidRPr="008B5159" w:rsidRDefault="00FD6E88" w:rsidP="00FD6E88">
      <w:pPr>
        <w:spacing w:line="200" w:lineRule="atLeast"/>
        <w:ind w:firstLine="567"/>
        <w:jc w:val="both"/>
        <w:rPr>
          <w:sz w:val="18"/>
          <w:szCs w:val="18"/>
        </w:rPr>
      </w:pPr>
    </w:p>
    <w:p w:rsidR="00FD6E88" w:rsidRPr="00FD6E88" w:rsidRDefault="00FD6E88" w:rsidP="00FD6E88">
      <w:pPr>
        <w:ind w:firstLine="600"/>
        <w:jc w:val="both"/>
        <w:rPr>
          <w:b/>
          <w:bCs/>
          <w:color w:val="000000"/>
        </w:rPr>
      </w:pPr>
      <w:r w:rsidRPr="008B5159">
        <w:t>Parágrafo único. A SEAS designará o Secretário Executiv</w:t>
      </w:r>
      <w:r>
        <w:t>o</w:t>
      </w:r>
      <w:r w:rsidRPr="008B5159">
        <w:t xml:space="preserve"> do ConCidades/RO.</w:t>
      </w:r>
      <w:r w:rsidRPr="00FD6E88">
        <w:t xml:space="preserve"> </w:t>
      </w:r>
      <w:r w:rsidRPr="00FD6E88">
        <w:rPr>
          <w:b/>
        </w:rPr>
        <w:t>(Redação dada pela Lei n. 3.861, de 19/07/2016)</w:t>
      </w:r>
    </w:p>
    <w:p w:rsidR="00FD6E88" w:rsidRPr="00435F93" w:rsidRDefault="00FD6E88"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Art. 13. As despesas decorrentes da aplicação desta Lei correrão por conta dos recursos constantes do orçamento do exercício, ficando o Poder Executivo autorizado a promover as alterações orçamentárias que se fizerem necessárias para garantir o pleno funcionamento do conselho.</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Art. 14. Revogam-se as disposições da Seção I, do Capítulo III, da Lei nº 2.114, de 7 de julho de 2009, que “Dispõe sobre a criação do Sistema Estadual de Habitação de Interesse Social – SEHIS, do Fundo Estadual de Habitação de Interesse Social – FEHIS, do Conselho Gestor do FEHIS e do Conselho Estadual das Cidades”.</w:t>
      </w:r>
    </w:p>
    <w:p w:rsidR="00435F93" w:rsidRPr="00435F93" w:rsidRDefault="00435F93" w:rsidP="00435F93">
      <w:pPr>
        <w:ind w:firstLine="600"/>
        <w:jc w:val="both"/>
        <w:rPr>
          <w:bCs/>
          <w:color w:val="000000"/>
        </w:rPr>
      </w:pPr>
    </w:p>
    <w:p w:rsidR="00435F93" w:rsidRPr="00435F93" w:rsidRDefault="00435F93" w:rsidP="00435F93">
      <w:pPr>
        <w:ind w:firstLine="567"/>
        <w:jc w:val="both"/>
        <w:rPr>
          <w:bCs/>
          <w:color w:val="000000"/>
        </w:rPr>
      </w:pPr>
      <w:r w:rsidRPr="00435F93">
        <w:rPr>
          <w:bCs/>
          <w:color w:val="000000"/>
        </w:rPr>
        <w:t>Art. 15. Esta Lei entra em vigor na data de sua publicação.</w:t>
      </w:r>
    </w:p>
    <w:p w:rsidR="00BD50CF" w:rsidRPr="004E048C" w:rsidRDefault="00BD50CF" w:rsidP="00BD50CF">
      <w:pPr>
        <w:ind w:firstLine="600"/>
        <w:jc w:val="both"/>
      </w:pPr>
    </w:p>
    <w:p w:rsidR="00137501" w:rsidRPr="0046356F" w:rsidRDefault="00137501" w:rsidP="00AA0602">
      <w:pPr>
        <w:ind w:firstLine="567"/>
        <w:jc w:val="both"/>
      </w:pPr>
      <w:r w:rsidRPr="0046356F">
        <w:t>Palácio do Governo do Estado de Rondônia, em</w:t>
      </w:r>
      <w:r w:rsidR="00D01AFC">
        <w:t xml:space="preserve"> 15 </w:t>
      </w:r>
      <w:r w:rsidRPr="0046356F">
        <w:t>de</w:t>
      </w:r>
      <w:r w:rsidR="00EC58D0">
        <w:t xml:space="preserve"> </w:t>
      </w:r>
      <w:r w:rsidR="00145D18">
        <w:t>setembro</w:t>
      </w:r>
      <w:r w:rsidR="00EC58D0">
        <w:t xml:space="preserve"> </w:t>
      </w:r>
      <w:r w:rsidRPr="0046356F">
        <w:t>de 201</w:t>
      </w:r>
      <w:r>
        <w:t>4</w:t>
      </w:r>
      <w:r w:rsidRPr="0046356F">
        <w:t>, 12</w:t>
      </w:r>
      <w:r>
        <w:t>6</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spacing w:line="0" w:lineRule="atLeast"/>
      </w:pPr>
    </w:p>
    <w:p w:rsidR="00137501" w:rsidRPr="0046356F" w:rsidRDefault="00137501" w:rsidP="00137501">
      <w:pPr>
        <w:tabs>
          <w:tab w:val="left" w:pos="4365"/>
        </w:tabs>
        <w:spacing w:line="0" w:lineRule="atLeast"/>
        <w:jc w:val="center"/>
        <w:rPr>
          <w:b/>
        </w:rPr>
      </w:pPr>
      <w:r w:rsidRPr="0046356F">
        <w:rPr>
          <w:b/>
        </w:rPr>
        <w:t>CONFÚCIO AIRES MOURA</w:t>
      </w:r>
    </w:p>
    <w:p w:rsidR="00137501" w:rsidRPr="0046356F" w:rsidRDefault="00137501" w:rsidP="00137501">
      <w:pPr>
        <w:tabs>
          <w:tab w:val="left" w:pos="4365"/>
        </w:tabs>
        <w:spacing w:line="0" w:lineRule="atLeast"/>
        <w:jc w:val="center"/>
      </w:pPr>
      <w:r w:rsidRPr="0046356F">
        <w:t>Governador</w:t>
      </w:r>
    </w:p>
    <w:p w:rsidR="00030867" w:rsidRDefault="00030867" w:rsidP="00217C87">
      <w:pPr>
        <w:ind w:firstLine="600"/>
        <w:jc w:val="both"/>
      </w:pPr>
    </w:p>
    <w:sectPr w:rsidR="00030867" w:rsidSect="00337275">
      <w:headerReference w:type="default" r:id="rId9"/>
      <w:footerReference w:type="default" r:id="rId10"/>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3FA" w:rsidRDefault="000533FA">
      <w:r>
        <w:separator/>
      </w:r>
    </w:p>
  </w:endnote>
  <w:endnote w:type="continuationSeparator" w:id="0">
    <w:p w:rsidR="000533FA" w:rsidRDefault="0005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0" w:rsidRDefault="0077729F">
    <w:pPr>
      <w:pStyle w:val="Rodap"/>
      <w:jc w:val="right"/>
    </w:pPr>
    <w:r>
      <w:fldChar w:fldCharType="begin"/>
    </w:r>
    <w:r>
      <w:instrText>PAGE   \* MERGEFORMAT</w:instrText>
    </w:r>
    <w:r>
      <w:fldChar w:fldCharType="separate"/>
    </w:r>
    <w:r w:rsidR="00772A66">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3FA" w:rsidRDefault="000533FA">
      <w:r>
        <w:separator/>
      </w:r>
    </w:p>
  </w:footnote>
  <w:footnote w:type="continuationSeparator" w:id="0">
    <w:p w:rsidR="000533FA" w:rsidRDefault="00053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654348950"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5D18"/>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AE2"/>
    <w:rsid w:val="001E067B"/>
    <w:rsid w:val="001E2AA3"/>
    <w:rsid w:val="001E68D2"/>
    <w:rsid w:val="001E7BE2"/>
    <w:rsid w:val="001F1A75"/>
    <w:rsid w:val="001F7CED"/>
    <w:rsid w:val="00201653"/>
    <w:rsid w:val="00203943"/>
    <w:rsid w:val="002077DE"/>
    <w:rsid w:val="0021773A"/>
    <w:rsid w:val="00217C87"/>
    <w:rsid w:val="00223C00"/>
    <w:rsid w:val="00224EBB"/>
    <w:rsid w:val="00232103"/>
    <w:rsid w:val="00241152"/>
    <w:rsid w:val="00245461"/>
    <w:rsid w:val="00245524"/>
    <w:rsid w:val="00257BDD"/>
    <w:rsid w:val="002635D5"/>
    <w:rsid w:val="002734FF"/>
    <w:rsid w:val="00281795"/>
    <w:rsid w:val="0028490D"/>
    <w:rsid w:val="00286FE9"/>
    <w:rsid w:val="00291276"/>
    <w:rsid w:val="00293236"/>
    <w:rsid w:val="002A3262"/>
    <w:rsid w:val="002A42CC"/>
    <w:rsid w:val="002A5C05"/>
    <w:rsid w:val="002A70BB"/>
    <w:rsid w:val="002A751F"/>
    <w:rsid w:val="002B2369"/>
    <w:rsid w:val="002B6785"/>
    <w:rsid w:val="002C019B"/>
    <w:rsid w:val="002C39FB"/>
    <w:rsid w:val="002C7F40"/>
    <w:rsid w:val="002D79B9"/>
    <w:rsid w:val="002E2C5B"/>
    <w:rsid w:val="002E4BEB"/>
    <w:rsid w:val="002F03A8"/>
    <w:rsid w:val="002F0B85"/>
    <w:rsid w:val="002F36CE"/>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563E"/>
    <w:rsid w:val="00355916"/>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35F93"/>
    <w:rsid w:val="004442DA"/>
    <w:rsid w:val="0044676F"/>
    <w:rsid w:val="00471C87"/>
    <w:rsid w:val="00472A30"/>
    <w:rsid w:val="00473284"/>
    <w:rsid w:val="00474C0B"/>
    <w:rsid w:val="00475358"/>
    <w:rsid w:val="0047601B"/>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4DF6"/>
    <w:rsid w:val="005A0EB3"/>
    <w:rsid w:val="005A20E8"/>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0EC0"/>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0C51"/>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2A81"/>
    <w:rsid w:val="0073499E"/>
    <w:rsid w:val="00734CB0"/>
    <w:rsid w:val="00746777"/>
    <w:rsid w:val="00752D34"/>
    <w:rsid w:val="0075363F"/>
    <w:rsid w:val="0075397A"/>
    <w:rsid w:val="00753BB5"/>
    <w:rsid w:val="00755207"/>
    <w:rsid w:val="00755267"/>
    <w:rsid w:val="00763D48"/>
    <w:rsid w:val="007670D4"/>
    <w:rsid w:val="007711CE"/>
    <w:rsid w:val="00772A66"/>
    <w:rsid w:val="00772C8D"/>
    <w:rsid w:val="00773F94"/>
    <w:rsid w:val="00776436"/>
    <w:rsid w:val="00776944"/>
    <w:rsid w:val="0077729F"/>
    <w:rsid w:val="0078101C"/>
    <w:rsid w:val="007911A4"/>
    <w:rsid w:val="007942D2"/>
    <w:rsid w:val="007A491B"/>
    <w:rsid w:val="007B0EE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119"/>
    <w:rsid w:val="008139FD"/>
    <w:rsid w:val="00821827"/>
    <w:rsid w:val="008266D7"/>
    <w:rsid w:val="00826AE7"/>
    <w:rsid w:val="008327AA"/>
    <w:rsid w:val="0083711D"/>
    <w:rsid w:val="008453F0"/>
    <w:rsid w:val="0084669F"/>
    <w:rsid w:val="0085169A"/>
    <w:rsid w:val="0085741B"/>
    <w:rsid w:val="00861536"/>
    <w:rsid w:val="008616E5"/>
    <w:rsid w:val="00864BAE"/>
    <w:rsid w:val="008655F1"/>
    <w:rsid w:val="0087213F"/>
    <w:rsid w:val="00874274"/>
    <w:rsid w:val="00876767"/>
    <w:rsid w:val="0088040B"/>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526D2"/>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E4649"/>
    <w:rsid w:val="00AE5225"/>
    <w:rsid w:val="00AF0309"/>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5DDB"/>
    <w:rsid w:val="00BD316A"/>
    <w:rsid w:val="00BD50CF"/>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23F3"/>
    <w:rsid w:val="00CD406D"/>
    <w:rsid w:val="00CE1AA3"/>
    <w:rsid w:val="00CE4ED8"/>
    <w:rsid w:val="00CE6674"/>
    <w:rsid w:val="00CF335B"/>
    <w:rsid w:val="00CF3A7F"/>
    <w:rsid w:val="00CF3CB6"/>
    <w:rsid w:val="00CF4F5D"/>
    <w:rsid w:val="00CF5D12"/>
    <w:rsid w:val="00CF620E"/>
    <w:rsid w:val="00D01AFC"/>
    <w:rsid w:val="00D032A3"/>
    <w:rsid w:val="00D10213"/>
    <w:rsid w:val="00D13DBD"/>
    <w:rsid w:val="00D14F9C"/>
    <w:rsid w:val="00D15A70"/>
    <w:rsid w:val="00D20F26"/>
    <w:rsid w:val="00D22E3E"/>
    <w:rsid w:val="00D247B3"/>
    <w:rsid w:val="00D27231"/>
    <w:rsid w:val="00D319D2"/>
    <w:rsid w:val="00D32077"/>
    <w:rsid w:val="00D3373B"/>
    <w:rsid w:val="00D41CCA"/>
    <w:rsid w:val="00D42D82"/>
    <w:rsid w:val="00D46861"/>
    <w:rsid w:val="00D47C8A"/>
    <w:rsid w:val="00D57E1D"/>
    <w:rsid w:val="00D6156C"/>
    <w:rsid w:val="00D64A95"/>
    <w:rsid w:val="00D6636F"/>
    <w:rsid w:val="00D761A3"/>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E0C"/>
    <w:rsid w:val="00E460C4"/>
    <w:rsid w:val="00E5359E"/>
    <w:rsid w:val="00E54891"/>
    <w:rsid w:val="00E5520B"/>
    <w:rsid w:val="00E64FB0"/>
    <w:rsid w:val="00E67A1F"/>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D6E0A"/>
    <w:rsid w:val="00EE7A04"/>
    <w:rsid w:val="00EF5681"/>
    <w:rsid w:val="00F03BAD"/>
    <w:rsid w:val="00F210EA"/>
    <w:rsid w:val="00F25720"/>
    <w:rsid w:val="00F3035B"/>
    <w:rsid w:val="00F30D72"/>
    <w:rsid w:val="00F32678"/>
    <w:rsid w:val="00F35535"/>
    <w:rsid w:val="00F35736"/>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D6E88"/>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15:docId w15:val="{2A63E10C-E20C-4CFB-9B7E-3B380013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 w:type="paragraph" w:customStyle="1" w:styleId="Default">
    <w:name w:val="Default"/>
    <w:rsid w:val="007B0EEB"/>
    <w:pPr>
      <w:autoSpaceDE w:val="0"/>
      <w:autoSpaceDN w:val="0"/>
      <w:adjustRightInd w:val="0"/>
    </w:pPr>
    <w:rPr>
      <w:rFonts w:ascii="Arial" w:eastAsia="Calibri" w:hAnsi="Arial" w:cs="Arial"/>
      <w:color w:val="000000"/>
      <w:sz w:val="24"/>
      <w:szCs w:val="24"/>
    </w:rPr>
  </w:style>
  <w:style w:type="character" w:styleId="Hyperlink">
    <w:name w:val="Hyperlink"/>
    <w:basedOn w:val="Fontepargpadro"/>
    <w:unhideWhenUsed/>
    <w:rsid w:val="002A3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264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8B3E-A9C0-4B3D-A98B-80BDB42C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1769</Words>
  <Characters>9556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VANESSA FRANCIS DA SILVA CORDEIRO</cp:lastModifiedBy>
  <cp:revision>7</cp:revision>
  <cp:lastPrinted>2014-09-11T14:42:00Z</cp:lastPrinted>
  <dcterms:created xsi:type="dcterms:W3CDTF">2014-09-11T14:43:00Z</dcterms:created>
  <dcterms:modified xsi:type="dcterms:W3CDTF">2020-06-22T20:36:00Z</dcterms:modified>
</cp:coreProperties>
</file>