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DC" w:rsidRPr="001534DC" w:rsidRDefault="001534DC" w:rsidP="001534DC">
      <w:pPr>
        <w:pStyle w:val="Corpodetex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534DC">
        <w:rPr>
          <w:rFonts w:ascii="Times New Roman" w:hAnsi="Times New Roman" w:cs="Times New Roman"/>
          <w:sz w:val="24"/>
          <w:szCs w:val="24"/>
          <w:lang w:val="pt-BR"/>
        </w:rPr>
        <w:t>DECRETO Nº 374</w:t>
      </w:r>
      <w:r>
        <w:rPr>
          <w:rFonts w:ascii="Times New Roman" w:hAnsi="Times New Roman" w:cs="Times New Roman"/>
          <w:sz w:val="24"/>
          <w:szCs w:val="24"/>
          <w:lang w:val="pt-BR"/>
        </w:rPr>
        <w:t>5</w:t>
      </w:r>
      <w:r w:rsidRPr="001534DC">
        <w:rPr>
          <w:rFonts w:ascii="Times New Roman" w:hAnsi="Times New Roman" w:cs="Times New Roman"/>
          <w:sz w:val="24"/>
          <w:szCs w:val="24"/>
          <w:lang w:val="pt-BR"/>
        </w:rPr>
        <w:t xml:space="preserve"> DE 12 DE MAIO DE 1988.</w:t>
      </w:r>
    </w:p>
    <w:p w:rsidR="001534DC" w:rsidRPr="001534DC" w:rsidRDefault="001534DC" w:rsidP="001534DC">
      <w:pPr>
        <w:pStyle w:val="Corpodetex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1534DC" w:rsidRPr="001534DC" w:rsidRDefault="001534DC" w:rsidP="001534DC">
      <w:pPr>
        <w:pStyle w:val="Corpodetexto"/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534DC">
        <w:rPr>
          <w:rFonts w:ascii="Times New Roman" w:hAnsi="Times New Roman" w:cs="Times New Roman"/>
          <w:sz w:val="24"/>
          <w:szCs w:val="24"/>
          <w:lang w:val="pt-BR"/>
        </w:rPr>
        <w:t>Dispõe sobre a nomeação do Quadro de Pessoal Civil do Estado de Rondônia para provimento de cargos iniciais nas diversas Categorias Funcionais nos termos da Lei Complementar nº02/84, e dá outras providências.</w:t>
      </w:r>
    </w:p>
    <w:p w:rsidR="001534DC" w:rsidRPr="001534DC" w:rsidRDefault="001534DC" w:rsidP="001534DC">
      <w:pPr>
        <w:pStyle w:val="Corpodetexto"/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534DC" w:rsidRPr="001534DC" w:rsidRDefault="001534DC" w:rsidP="001534DC">
      <w:pPr>
        <w:pStyle w:val="Corpodetex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534DC">
        <w:rPr>
          <w:rFonts w:ascii="Times New Roman" w:hAnsi="Times New Roman" w:cs="Times New Roman"/>
          <w:sz w:val="24"/>
          <w:szCs w:val="24"/>
          <w:lang w:val="pt-BR"/>
        </w:rPr>
        <w:t>O GOVERNO DO ESTADP DE RONDÔNIA, no uso das atribuições que lhe são conferidas pelo artigo 70, inciso III e VIII da Constituição Estadual e com fundamento na Lei Complementar nº 01/84 (Estatuto dos Funcionário Públicos Civis de Rondônia),</w:t>
      </w:r>
    </w:p>
    <w:p w:rsidR="001534DC" w:rsidRPr="001534DC" w:rsidRDefault="001534DC" w:rsidP="001534DC">
      <w:pPr>
        <w:pStyle w:val="Corpodetex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  <w:r w:rsidRPr="001534DC">
        <w:rPr>
          <w:sz w:val="24"/>
          <w:szCs w:val="24"/>
          <w:u w:val="single"/>
          <w:lang w:val="pt-BR"/>
        </w:rPr>
        <w:t>D</w:t>
      </w:r>
      <w:r w:rsidRPr="001534DC">
        <w:rPr>
          <w:sz w:val="24"/>
          <w:szCs w:val="24"/>
          <w:lang w:val="pt-BR"/>
        </w:rPr>
        <w:t xml:space="preserve"> </w:t>
      </w:r>
      <w:r w:rsidRPr="001534DC">
        <w:rPr>
          <w:sz w:val="24"/>
          <w:szCs w:val="24"/>
          <w:u w:val="single"/>
          <w:lang w:val="pt-BR"/>
        </w:rPr>
        <w:t>E</w:t>
      </w:r>
      <w:r w:rsidRPr="001534DC">
        <w:rPr>
          <w:sz w:val="24"/>
          <w:szCs w:val="24"/>
          <w:lang w:val="pt-BR"/>
        </w:rPr>
        <w:t xml:space="preserve"> </w:t>
      </w:r>
      <w:r w:rsidRPr="001534DC">
        <w:rPr>
          <w:sz w:val="24"/>
          <w:szCs w:val="24"/>
          <w:u w:val="single"/>
          <w:lang w:val="pt-BR"/>
        </w:rPr>
        <w:t>C</w:t>
      </w:r>
      <w:r w:rsidRPr="001534DC">
        <w:rPr>
          <w:sz w:val="24"/>
          <w:szCs w:val="24"/>
          <w:lang w:val="pt-BR"/>
        </w:rPr>
        <w:t xml:space="preserve"> </w:t>
      </w:r>
      <w:r w:rsidRPr="001534DC">
        <w:rPr>
          <w:sz w:val="24"/>
          <w:szCs w:val="24"/>
          <w:u w:val="single"/>
          <w:lang w:val="pt-BR"/>
        </w:rPr>
        <w:t>R</w:t>
      </w:r>
      <w:r w:rsidRPr="001534DC">
        <w:rPr>
          <w:sz w:val="24"/>
          <w:szCs w:val="24"/>
          <w:lang w:val="pt-BR"/>
        </w:rPr>
        <w:t xml:space="preserve"> </w:t>
      </w:r>
      <w:r w:rsidRPr="001534DC">
        <w:rPr>
          <w:sz w:val="24"/>
          <w:szCs w:val="24"/>
          <w:u w:val="single"/>
          <w:lang w:val="pt-BR"/>
        </w:rPr>
        <w:t>E</w:t>
      </w:r>
      <w:r w:rsidRPr="001534DC">
        <w:rPr>
          <w:sz w:val="24"/>
          <w:szCs w:val="24"/>
          <w:lang w:val="pt-BR"/>
        </w:rPr>
        <w:t xml:space="preserve"> </w:t>
      </w:r>
      <w:r w:rsidRPr="001534DC">
        <w:rPr>
          <w:sz w:val="24"/>
          <w:szCs w:val="24"/>
          <w:u w:val="single"/>
          <w:lang w:val="pt-BR"/>
        </w:rPr>
        <w:t>T</w:t>
      </w:r>
      <w:r w:rsidRPr="001534DC">
        <w:rPr>
          <w:sz w:val="24"/>
          <w:szCs w:val="24"/>
          <w:lang w:val="pt-BR"/>
        </w:rPr>
        <w:t xml:space="preserve"> </w:t>
      </w:r>
      <w:r w:rsidRPr="001534DC">
        <w:rPr>
          <w:sz w:val="24"/>
          <w:szCs w:val="24"/>
          <w:u w:val="single"/>
          <w:lang w:val="pt-BR"/>
        </w:rPr>
        <w:t>A</w:t>
      </w:r>
      <w:r w:rsidRPr="001534DC">
        <w:rPr>
          <w:sz w:val="24"/>
          <w:szCs w:val="24"/>
          <w:lang w:val="pt-BR"/>
        </w:rPr>
        <w:t xml:space="preserve">: </w:t>
      </w: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  <w:r w:rsidRPr="001534DC">
        <w:rPr>
          <w:sz w:val="24"/>
          <w:szCs w:val="24"/>
          <w:lang w:val="pt-BR"/>
        </w:rPr>
        <w:t xml:space="preserve">Art. 1º. Os servidores relacionados no Anexo I deste Decreto, já enquadrados, provisoriamente, no Plano de Classificação de Cargos e Empregos, confirme o Edital de Apto nº </w:t>
      </w:r>
      <w:r>
        <w:rPr>
          <w:sz w:val="24"/>
          <w:szCs w:val="24"/>
          <w:lang w:val="pt-BR"/>
        </w:rPr>
        <w:t>078</w:t>
      </w:r>
      <w:r w:rsidRPr="001534DC">
        <w:rPr>
          <w:sz w:val="24"/>
          <w:szCs w:val="24"/>
          <w:lang w:val="pt-BR"/>
        </w:rPr>
        <w:t>, publicado no D.O.E nº 1</w:t>
      </w:r>
      <w:r>
        <w:rPr>
          <w:sz w:val="24"/>
          <w:szCs w:val="24"/>
          <w:lang w:val="pt-BR"/>
        </w:rPr>
        <w:t>301</w:t>
      </w:r>
      <w:r w:rsidRPr="001534DC">
        <w:rPr>
          <w:sz w:val="24"/>
          <w:szCs w:val="24"/>
          <w:lang w:val="pt-BR"/>
        </w:rPr>
        <w:t xml:space="preserve"> de </w:t>
      </w:r>
      <w:r>
        <w:rPr>
          <w:sz w:val="24"/>
          <w:szCs w:val="24"/>
          <w:lang w:val="pt-BR"/>
        </w:rPr>
        <w:t>05.05</w:t>
      </w:r>
      <w:r w:rsidRPr="001534DC">
        <w:rPr>
          <w:sz w:val="24"/>
          <w:szCs w:val="24"/>
          <w:lang w:val="pt-BR"/>
        </w:rPr>
        <w:t xml:space="preserve">.87, ficam nomeados nos termos da Lei Complementar nº 01 de 14 de novembro de 1984, (Estatuto dos Funcionários Públicos Civis de Rondônia), Lei Complementar nº 02 de 24.12.84 e Lei Complementar nº 10 de 20.12.85, os quais passarão a integrar o Quadro Permanente de Pessoal Civil do Estado de Rondônia. </w:t>
      </w: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  <w:r w:rsidRPr="001534DC">
        <w:rPr>
          <w:sz w:val="24"/>
          <w:szCs w:val="24"/>
          <w:lang w:val="pt-BR"/>
        </w:rPr>
        <w:lastRenderedPageBreak/>
        <w:t>Parágrafo único. Ficam rescindidos todos os pactos laborais dos servidores relacionados no Anexo I deste Decreto, não gerando nenhum direito, à qualquer título, a indenizações trabalhistas, com exceção da liberação do Fundo de Garantia por Tempo de Serviço – F.G.T.S.</w:t>
      </w: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  <w:r w:rsidRPr="001534DC">
        <w:rPr>
          <w:sz w:val="24"/>
          <w:szCs w:val="24"/>
          <w:lang w:val="pt-BR"/>
        </w:rPr>
        <w:t>Art. 2º. No ato da posse, os servidores nomeados pelo presente Decreto deverão apresentar os documentos abaixo discriminados:</w:t>
      </w: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  <w:r w:rsidRPr="001534DC">
        <w:rPr>
          <w:sz w:val="24"/>
          <w:szCs w:val="24"/>
          <w:lang w:val="pt-BR"/>
        </w:rPr>
        <w:t xml:space="preserve">I – Aos ocupantes das Categorias funcionais de nível superior e técnico de nível médio: </w:t>
      </w: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pStyle w:val="PargrafodaLista"/>
        <w:numPr>
          <w:ilvl w:val="0"/>
          <w:numId w:val="2"/>
        </w:numPr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534DC">
        <w:rPr>
          <w:rFonts w:ascii="Times New Roman" w:hAnsi="Times New Roman" w:cs="Times New Roman"/>
          <w:sz w:val="24"/>
          <w:szCs w:val="24"/>
          <w:lang w:val="pt-BR"/>
        </w:rPr>
        <w:t>Original e xerox do Diploma e Carteiras do órgão de classe;</w:t>
      </w:r>
    </w:p>
    <w:p w:rsidR="001534DC" w:rsidRPr="001534DC" w:rsidRDefault="001534DC" w:rsidP="001534DC">
      <w:pPr>
        <w:pStyle w:val="PargrafodaLista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534DC" w:rsidRPr="001534DC" w:rsidRDefault="001534DC" w:rsidP="001534DC">
      <w:pPr>
        <w:pStyle w:val="PargrafodaLista"/>
        <w:numPr>
          <w:ilvl w:val="0"/>
          <w:numId w:val="2"/>
        </w:numPr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534DC">
        <w:rPr>
          <w:rFonts w:ascii="Times New Roman" w:hAnsi="Times New Roman" w:cs="Times New Roman"/>
          <w:sz w:val="24"/>
          <w:szCs w:val="24"/>
          <w:lang w:val="pt-BR"/>
        </w:rPr>
        <w:t>Original e xerox da Certidão de Nascimento ou casamento;</w:t>
      </w:r>
    </w:p>
    <w:p w:rsidR="001534DC" w:rsidRPr="001534DC" w:rsidRDefault="001534DC" w:rsidP="001534DC">
      <w:pPr>
        <w:pStyle w:val="PargrafodaLista"/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</w:p>
    <w:p w:rsidR="001534DC" w:rsidRPr="001534DC" w:rsidRDefault="001534DC" w:rsidP="001534DC">
      <w:pPr>
        <w:pStyle w:val="PargrafodaLista"/>
        <w:numPr>
          <w:ilvl w:val="0"/>
          <w:numId w:val="2"/>
        </w:numPr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534DC">
        <w:rPr>
          <w:rFonts w:ascii="Times New Roman" w:hAnsi="Times New Roman" w:cs="Times New Roman"/>
          <w:sz w:val="24"/>
          <w:szCs w:val="24"/>
          <w:lang w:val="pt-BR"/>
        </w:rPr>
        <w:t>Original e xerox da Certidão de nascimento dos dependentes;</w:t>
      </w:r>
    </w:p>
    <w:p w:rsidR="001534DC" w:rsidRPr="001534DC" w:rsidRDefault="001534DC" w:rsidP="001534DC">
      <w:pPr>
        <w:pStyle w:val="PargrafodaLista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534DC" w:rsidRPr="001534DC" w:rsidRDefault="001534DC" w:rsidP="001534DC">
      <w:pPr>
        <w:pStyle w:val="PargrafodaLista"/>
        <w:numPr>
          <w:ilvl w:val="0"/>
          <w:numId w:val="2"/>
        </w:numPr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534DC">
        <w:rPr>
          <w:rFonts w:ascii="Times New Roman" w:hAnsi="Times New Roman" w:cs="Times New Roman"/>
          <w:sz w:val="24"/>
          <w:szCs w:val="24"/>
          <w:lang w:val="pt-BR"/>
        </w:rPr>
        <w:t>Original e xerox da Carteira de Identidade;</w:t>
      </w:r>
    </w:p>
    <w:p w:rsidR="001534DC" w:rsidRPr="001534DC" w:rsidRDefault="001534DC" w:rsidP="001534DC">
      <w:pPr>
        <w:pStyle w:val="PargrafodaLista"/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</w:p>
    <w:p w:rsidR="001534DC" w:rsidRPr="001534DC" w:rsidRDefault="001534DC" w:rsidP="001534DC">
      <w:pPr>
        <w:pStyle w:val="PargrafodaLista"/>
        <w:numPr>
          <w:ilvl w:val="0"/>
          <w:numId w:val="2"/>
        </w:numPr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534DC">
        <w:rPr>
          <w:rFonts w:ascii="Times New Roman" w:hAnsi="Times New Roman" w:cs="Times New Roman"/>
          <w:sz w:val="24"/>
          <w:szCs w:val="24"/>
          <w:lang w:val="pt-BR"/>
        </w:rPr>
        <w:t>Original e xerox do Título de Eleitor;</w:t>
      </w:r>
    </w:p>
    <w:p w:rsidR="001534DC" w:rsidRPr="001534DC" w:rsidRDefault="001534DC" w:rsidP="001534DC">
      <w:pPr>
        <w:pStyle w:val="PargrafodaLista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534DC" w:rsidRPr="001534DC" w:rsidRDefault="001534DC" w:rsidP="001534DC">
      <w:pPr>
        <w:pStyle w:val="PargrafodaLista"/>
        <w:numPr>
          <w:ilvl w:val="0"/>
          <w:numId w:val="2"/>
        </w:numPr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534DC">
        <w:rPr>
          <w:rFonts w:ascii="Times New Roman" w:hAnsi="Times New Roman" w:cs="Times New Roman"/>
          <w:sz w:val="24"/>
          <w:szCs w:val="24"/>
          <w:lang w:val="pt-BR"/>
        </w:rPr>
        <w:t>Original e xerox do Documento de Quitação de Serviço Militar.</w:t>
      </w:r>
    </w:p>
    <w:p w:rsidR="001534DC" w:rsidRPr="001534DC" w:rsidRDefault="001534DC" w:rsidP="001534DC">
      <w:pPr>
        <w:pStyle w:val="PargrafodaLista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534DC" w:rsidRPr="001534DC" w:rsidRDefault="001534DC" w:rsidP="001534DC">
      <w:pPr>
        <w:pStyle w:val="PargrafodaLista"/>
        <w:numPr>
          <w:ilvl w:val="0"/>
          <w:numId w:val="2"/>
        </w:numPr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534DC">
        <w:rPr>
          <w:rFonts w:ascii="Times New Roman" w:hAnsi="Times New Roman" w:cs="Times New Roman"/>
          <w:sz w:val="24"/>
          <w:szCs w:val="24"/>
          <w:lang w:val="pt-BR"/>
        </w:rPr>
        <w:t>Original e xerox do C.P.F.</w:t>
      </w:r>
    </w:p>
    <w:p w:rsidR="001534DC" w:rsidRPr="001534DC" w:rsidRDefault="001534DC" w:rsidP="001534DC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:rsidR="001534DC" w:rsidRPr="001534DC" w:rsidRDefault="001534DC" w:rsidP="001534DC">
      <w:pPr>
        <w:pStyle w:val="PargrafodaLista"/>
        <w:ind w:left="567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534DC">
        <w:rPr>
          <w:rFonts w:ascii="Times New Roman" w:hAnsi="Times New Roman" w:cs="Times New Roman"/>
          <w:sz w:val="24"/>
          <w:szCs w:val="24"/>
          <w:lang w:val="pt-BR"/>
        </w:rPr>
        <w:t>II – Aos ocupantes das categorias funcionais de nível médio:</w:t>
      </w:r>
    </w:p>
    <w:p w:rsidR="001534DC" w:rsidRPr="001534DC" w:rsidRDefault="001534DC" w:rsidP="001534DC">
      <w:pPr>
        <w:pStyle w:val="PargrafodaLista"/>
        <w:ind w:left="567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534DC" w:rsidRPr="001534DC" w:rsidRDefault="001534DC" w:rsidP="001534DC">
      <w:pPr>
        <w:pStyle w:val="PargrafodaLista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534DC">
        <w:rPr>
          <w:rFonts w:ascii="Times New Roman" w:hAnsi="Times New Roman" w:cs="Times New Roman"/>
          <w:sz w:val="24"/>
          <w:szCs w:val="24"/>
          <w:lang w:val="pt-BR"/>
        </w:rPr>
        <w:t>Original e xerox de conclusão e histórico escolar;</w:t>
      </w:r>
    </w:p>
    <w:p w:rsidR="001534DC" w:rsidRPr="001534DC" w:rsidRDefault="001534DC" w:rsidP="001534DC">
      <w:pPr>
        <w:pStyle w:val="PargrafodaLista"/>
        <w:ind w:left="927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534DC" w:rsidRPr="001534DC" w:rsidRDefault="001534DC" w:rsidP="001534DC">
      <w:pPr>
        <w:pStyle w:val="PargrafodaLista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534DC">
        <w:rPr>
          <w:rFonts w:ascii="Times New Roman" w:hAnsi="Times New Roman" w:cs="Times New Roman"/>
          <w:sz w:val="24"/>
          <w:szCs w:val="24"/>
          <w:lang w:val="pt-BR"/>
        </w:rPr>
        <w:t>Original e xerox da Certidão de nascimento ou casamento;</w:t>
      </w:r>
    </w:p>
    <w:p w:rsidR="001534DC" w:rsidRPr="001534DC" w:rsidRDefault="001534DC" w:rsidP="001534DC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:rsidR="001534DC" w:rsidRPr="001534DC" w:rsidRDefault="001534DC" w:rsidP="001534DC">
      <w:pPr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pStyle w:val="PargrafodaLista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534DC">
        <w:rPr>
          <w:rFonts w:ascii="Times New Roman" w:hAnsi="Times New Roman" w:cs="Times New Roman"/>
          <w:sz w:val="24"/>
          <w:szCs w:val="24"/>
          <w:lang w:val="pt-BR"/>
        </w:rPr>
        <w:t>Original e xerox da Certidão de nascimento dos dependentes;</w:t>
      </w:r>
    </w:p>
    <w:p w:rsidR="001534DC" w:rsidRPr="001534DC" w:rsidRDefault="001534DC" w:rsidP="001534DC">
      <w:pPr>
        <w:pStyle w:val="PargrafodaLista"/>
        <w:ind w:left="927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534DC" w:rsidRPr="001534DC" w:rsidRDefault="001534DC" w:rsidP="001534DC">
      <w:pPr>
        <w:pStyle w:val="PargrafodaLista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534DC">
        <w:rPr>
          <w:rFonts w:ascii="Times New Roman" w:hAnsi="Times New Roman" w:cs="Times New Roman"/>
          <w:sz w:val="24"/>
          <w:szCs w:val="24"/>
          <w:lang w:val="pt-BR"/>
        </w:rPr>
        <w:t>Original e xerox da Carteira de Identidade;</w:t>
      </w:r>
    </w:p>
    <w:p w:rsidR="001534DC" w:rsidRPr="001534DC" w:rsidRDefault="001534DC" w:rsidP="001534DC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:rsidR="001534DC" w:rsidRPr="001534DC" w:rsidRDefault="001534DC" w:rsidP="001534DC">
      <w:pPr>
        <w:pStyle w:val="PargrafodaLista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534DC">
        <w:rPr>
          <w:rFonts w:ascii="Times New Roman" w:hAnsi="Times New Roman" w:cs="Times New Roman"/>
          <w:sz w:val="24"/>
          <w:szCs w:val="24"/>
          <w:lang w:val="pt-BR"/>
        </w:rPr>
        <w:t>Original e xerox do C.P.F.;</w:t>
      </w:r>
    </w:p>
    <w:p w:rsidR="001534DC" w:rsidRPr="001534DC" w:rsidRDefault="001534DC" w:rsidP="001534DC">
      <w:pPr>
        <w:pStyle w:val="PargrafodaLista"/>
        <w:ind w:left="927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534DC" w:rsidRPr="001534DC" w:rsidRDefault="001534DC" w:rsidP="001534DC">
      <w:pPr>
        <w:pStyle w:val="PargrafodaLista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534DC">
        <w:rPr>
          <w:rFonts w:ascii="Times New Roman" w:hAnsi="Times New Roman" w:cs="Times New Roman"/>
          <w:sz w:val="24"/>
          <w:szCs w:val="24"/>
          <w:lang w:val="pt-BR"/>
        </w:rPr>
        <w:t>Original e xerox do Título de Eleitor;</w:t>
      </w:r>
    </w:p>
    <w:p w:rsidR="001534DC" w:rsidRPr="001534DC" w:rsidRDefault="001534DC" w:rsidP="001534DC">
      <w:pPr>
        <w:pStyle w:val="PargrafodaLista"/>
        <w:ind w:left="927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534DC" w:rsidRPr="001534DC" w:rsidRDefault="001534DC" w:rsidP="001534DC">
      <w:pPr>
        <w:pStyle w:val="PargrafodaLista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534DC">
        <w:rPr>
          <w:rFonts w:ascii="Times New Roman" w:hAnsi="Times New Roman" w:cs="Times New Roman"/>
          <w:sz w:val="24"/>
          <w:szCs w:val="24"/>
          <w:lang w:val="pt-BR"/>
        </w:rPr>
        <w:t xml:space="preserve">Original e xerox do Documento de Quitação de Serviço Militar. </w:t>
      </w:r>
    </w:p>
    <w:p w:rsidR="001534DC" w:rsidRPr="001534DC" w:rsidRDefault="001534DC" w:rsidP="001534DC">
      <w:pPr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  <w:r w:rsidRPr="001534DC">
        <w:rPr>
          <w:sz w:val="24"/>
          <w:szCs w:val="24"/>
          <w:lang w:val="pt-BR"/>
        </w:rPr>
        <w:t>Art. 3º. A posse dos servidores nomeados, lotação na Capital do Estado, será efetivada perante o Diretor do Departamento de Recursos Humanos da Secretaria de Estafo da Administração, em conformidade com o inciso III do artigo 25 da Lei Complementar nº 01/84 e a dos lotados no interior do Estado, perante o Diretor do DRH ou seu representante, na Secretaria Municipal de Administração.</w:t>
      </w: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  <w:r w:rsidRPr="001534DC">
        <w:rPr>
          <w:sz w:val="24"/>
          <w:szCs w:val="24"/>
          <w:lang w:val="pt-BR"/>
        </w:rPr>
        <w:t>Art. 4º. O ato de posse efetivar-se-á no prazo improrrogável de 30 (trinta) dias, a partir da data da publicação deste Decreto.</w:t>
      </w: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  <w:r w:rsidRPr="001534DC">
        <w:rPr>
          <w:sz w:val="24"/>
          <w:szCs w:val="24"/>
          <w:lang w:val="pt-BR"/>
        </w:rPr>
        <w:t>Parágrafo único. Não haverá, em nenhuma hipótese, posse por procuração.</w:t>
      </w: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  <w:r w:rsidRPr="001534DC">
        <w:rPr>
          <w:sz w:val="24"/>
          <w:szCs w:val="24"/>
          <w:lang w:val="pt-BR"/>
        </w:rPr>
        <w:t>Art. 5º. Os efeitos funcionais da nomeação estabelecidos no Estatuto dos Funcionários Públicos Civis de Rondônia retroagirão a data da publicação do Edital de Apto.</w:t>
      </w: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  <w:r w:rsidRPr="001534DC">
        <w:rPr>
          <w:sz w:val="24"/>
          <w:szCs w:val="24"/>
          <w:lang w:val="pt-BR"/>
        </w:rPr>
        <w:t>Art. 6º. Esta Decreto entra em vigor na data de sua publicação, revogadas as disposições em contrário.</w:t>
      </w: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  <w:r w:rsidRPr="001534DC">
        <w:rPr>
          <w:sz w:val="24"/>
          <w:szCs w:val="24"/>
          <w:lang w:val="pt-BR"/>
        </w:rPr>
        <w:t xml:space="preserve">Palácio do Governo do Estado de Rondônia, em 12 de maio de 1988, 100º da República. </w:t>
      </w: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ind w:firstLine="567"/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  <w:r w:rsidRPr="001534DC">
        <w:rPr>
          <w:sz w:val="24"/>
          <w:szCs w:val="24"/>
          <w:lang w:val="pt-BR"/>
        </w:rPr>
        <w:t>JERÔNIMO GARCIA DE SANTANA</w:t>
      </w: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  <w:r w:rsidRPr="001534DC">
        <w:rPr>
          <w:sz w:val="24"/>
          <w:szCs w:val="24"/>
          <w:lang w:val="pt-BR"/>
        </w:rPr>
        <w:t xml:space="preserve">GOVERNADOR </w:t>
      </w: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  <w:r w:rsidRPr="001534DC">
        <w:rPr>
          <w:sz w:val="24"/>
          <w:szCs w:val="24"/>
          <w:lang w:val="pt-BR"/>
        </w:rPr>
        <w:t>ANTONIO MORIMOTO</w:t>
      </w: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  <w:r w:rsidRPr="001534DC">
        <w:rPr>
          <w:sz w:val="24"/>
          <w:szCs w:val="24"/>
          <w:lang w:val="pt-BR"/>
        </w:rPr>
        <w:t>Secretário de Estado da Administração</w:t>
      </w: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center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both"/>
        <w:rPr>
          <w:sz w:val="24"/>
          <w:szCs w:val="24"/>
          <w:lang w:val="pt-BR"/>
        </w:rPr>
      </w:pPr>
    </w:p>
    <w:p w:rsidR="001534DC" w:rsidRPr="001534DC" w:rsidRDefault="001534DC" w:rsidP="001534DC">
      <w:pPr>
        <w:jc w:val="both"/>
        <w:rPr>
          <w:sz w:val="24"/>
          <w:szCs w:val="24"/>
          <w:lang w:val="pt-BR"/>
        </w:rPr>
      </w:pPr>
      <w:r w:rsidRPr="001534DC">
        <w:rPr>
          <w:sz w:val="24"/>
          <w:szCs w:val="24"/>
          <w:lang w:val="pt-BR"/>
        </w:rPr>
        <w:t>GRUPO</w:t>
      </w:r>
      <w:r>
        <w:rPr>
          <w:sz w:val="24"/>
          <w:szCs w:val="24"/>
          <w:lang w:val="pt-BR"/>
        </w:rPr>
        <w:t xml:space="preserve"> OCUPACIONAL: TÉCNICO DE NIVEL MÉDIO CÓD. 500</w:t>
      </w:r>
    </w:p>
    <w:p w:rsidR="001534DC" w:rsidRDefault="001534DC" w:rsidP="001534DC">
      <w:pPr>
        <w:jc w:val="both"/>
        <w:rPr>
          <w:sz w:val="24"/>
          <w:szCs w:val="24"/>
          <w:lang w:val="pt-BR"/>
        </w:rPr>
      </w:pPr>
      <w:r w:rsidRPr="001534DC">
        <w:rPr>
          <w:sz w:val="24"/>
          <w:szCs w:val="24"/>
          <w:lang w:val="pt-BR"/>
        </w:rPr>
        <w:t xml:space="preserve">CATEGORIA FUNCIONAL: </w:t>
      </w:r>
      <w:r>
        <w:rPr>
          <w:sz w:val="24"/>
          <w:szCs w:val="24"/>
          <w:lang w:val="pt-BR"/>
        </w:rPr>
        <w:t>TÉCNICO EM CONTABILIDADE CÓD. 504</w:t>
      </w:r>
    </w:p>
    <w:p w:rsidR="001534DC" w:rsidRPr="001534DC" w:rsidRDefault="001534DC" w:rsidP="001534DC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CLASSE |</w:t>
      </w:r>
      <w:r w:rsidRPr="001534DC">
        <w:rPr>
          <w:sz w:val="24"/>
          <w:szCs w:val="24"/>
          <w:lang w:val="pt-BR"/>
        </w:rPr>
        <w:t>“</w:t>
      </w:r>
      <w:r>
        <w:rPr>
          <w:sz w:val="24"/>
          <w:szCs w:val="24"/>
          <w:lang w:val="pt-BR"/>
        </w:rPr>
        <w:t>A</w:t>
      </w:r>
      <w:r w:rsidRPr="001534DC">
        <w:rPr>
          <w:sz w:val="24"/>
          <w:szCs w:val="24"/>
          <w:lang w:val="pt-BR"/>
        </w:rPr>
        <w:t xml:space="preserve">” REF: NM-18 </w:t>
      </w:r>
    </w:p>
    <w:p w:rsidR="001534DC" w:rsidRPr="001534DC" w:rsidRDefault="001534DC" w:rsidP="001534DC">
      <w:pPr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5763"/>
        <w:gridCol w:w="3433"/>
      </w:tblGrid>
      <w:tr w:rsidR="001534DC" w:rsidRPr="001534DC" w:rsidTr="001534DC">
        <w:tc>
          <w:tcPr>
            <w:tcW w:w="1099" w:type="dxa"/>
          </w:tcPr>
          <w:p w:rsidR="001534DC" w:rsidRPr="001534DC" w:rsidRDefault="001534DC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763" w:type="dxa"/>
          </w:tcPr>
          <w:p w:rsidR="001534DC" w:rsidRPr="001534DC" w:rsidRDefault="001534DC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33" w:type="dxa"/>
          </w:tcPr>
          <w:p w:rsidR="001534DC" w:rsidRPr="001534DC" w:rsidRDefault="001534DC" w:rsidP="00C26054">
            <w:pPr>
              <w:jc w:val="center"/>
              <w:rPr>
                <w:sz w:val="24"/>
                <w:szCs w:val="24"/>
                <w:lang w:val="pt-BR"/>
              </w:rPr>
            </w:pPr>
            <w:r w:rsidRPr="001534DC">
              <w:rPr>
                <w:sz w:val="24"/>
                <w:szCs w:val="24"/>
                <w:lang w:val="pt-BR"/>
              </w:rPr>
              <w:t>CADASTRO</w:t>
            </w:r>
          </w:p>
        </w:tc>
      </w:tr>
      <w:tr w:rsidR="001534DC" w:rsidRPr="001534DC" w:rsidTr="001534DC">
        <w:tc>
          <w:tcPr>
            <w:tcW w:w="1099" w:type="dxa"/>
          </w:tcPr>
          <w:p w:rsidR="001534DC" w:rsidRPr="001534DC" w:rsidRDefault="001534DC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763" w:type="dxa"/>
          </w:tcPr>
          <w:p w:rsidR="001534DC" w:rsidRPr="001534DC" w:rsidRDefault="001534DC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33" w:type="dxa"/>
          </w:tcPr>
          <w:p w:rsidR="001534DC" w:rsidRPr="001534DC" w:rsidRDefault="001534DC" w:rsidP="00C26054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1534DC" w:rsidRPr="001534DC" w:rsidTr="001534DC">
        <w:tc>
          <w:tcPr>
            <w:tcW w:w="1099" w:type="dxa"/>
          </w:tcPr>
          <w:p w:rsidR="001534DC" w:rsidRPr="001534DC" w:rsidRDefault="001534DC" w:rsidP="00C26054">
            <w:pPr>
              <w:jc w:val="both"/>
              <w:rPr>
                <w:sz w:val="24"/>
                <w:szCs w:val="24"/>
                <w:lang w:val="pt-BR"/>
              </w:rPr>
            </w:pPr>
            <w:r w:rsidRPr="001534DC">
              <w:rPr>
                <w:sz w:val="24"/>
                <w:szCs w:val="24"/>
                <w:lang w:val="pt-BR"/>
              </w:rPr>
              <w:t xml:space="preserve">01 - </w:t>
            </w:r>
          </w:p>
        </w:tc>
        <w:tc>
          <w:tcPr>
            <w:tcW w:w="5763" w:type="dxa"/>
          </w:tcPr>
          <w:p w:rsidR="001534DC" w:rsidRPr="001534DC" w:rsidRDefault="001534DC" w:rsidP="00C26054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Carlos Augusto Stahl</w:t>
            </w:r>
          </w:p>
        </w:tc>
        <w:tc>
          <w:tcPr>
            <w:tcW w:w="3433" w:type="dxa"/>
          </w:tcPr>
          <w:p w:rsidR="001534DC" w:rsidRPr="001534DC" w:rsidRDefault="001534DC" w:rsidP="00C260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43.183-4</w:t>
            </w:r>
            <w:bookmarkStart w:id="0" w:name="_GoBack"/>
            <w:bookmarkEnd w:id="0"/>
          </w:p>
        </w:tc>
      </w:tr>
    </w:tbl>
    <w:p w:rsidR="00D624C0" w:rsidRPr="001534DC" w:rsidRDefault="00D624C0" w:rsidP="001534DC">
      <w:pPr>
        <w:ind w:firstLine="567"/>
        <w:jc w:val="both"/>
        <w:rPr>
          <w:sz w:val="24"/>
          <w:szCs w:val="24"/>
        </w:rPr>
      </w:pPr>
    </w:p>
    <w:sectPr w:rsidR="00D624C0" w:rsidRPr="001534DC" w:rsidSect="001534DC">
      <w:headerReference w:type="default" r:id="rId7"/>
      <w:type w:val="continuous"/>
      <w:pgSz w:w="11780" w:h="16820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4DC" w:rsidRDefault="001534DC" w:rsidP="001534DC">
      <w:r>
        <w:separator/>
      </w:r>
    </w:p>
  </w:endnote>
  <w:endnote w:type="continuationSeparator" w:id="0">
    <w:p w:rsidR="001534DC" w:rsidRDefault="001534DC" w:rsidP="0015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4DC" w:rsidRDefault="001534DC" w:rsidP="001534DC">
      <w:r>
        <w:separator/>
      </w:r>
    </w:p>
  </w:footnote>
  <w:footnote w:type="continuationSeparator" w:id="0">
    <w:p w:rsidR="001534DC" w:rsidRDefault="001534DC" w:rsidP="00153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5772843"/>
  <w:bookmarkEnd w:id="1"/>
  <w:p w:rsidR="001534DC" w:rsidRPr="00DD2EC3" w:rsidRDefault="001534DC" w:rsidP="001534DC">
    <w:pPr>
      <w:widowControl/>
      <w:autoSpaceDE/>
      <w:autoSpaceDN/>
      <w:jc w:val="center"/>
      <w:rPr>
        <w:b/>
        <w:sz w:val="24"/>
        <w:szCs w:val="24"/>
        <w:lang w:val="pt-BR" w:eastAsia="pt-BR"/>
      </w:rPr>
    </w:pPr>
    <w:r w:rsidRPr="00DD2EC3">
      <w:rPr>
        <w:b/>
        <w:sz w:val="24"/>
        <w:szCs w:val="24"/>
        <w:lang w:val="pt-BR"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61.5pt;height:69.75pt" o:ole="" fillcolor="window">
          <v:imagedata r:id="rId1" o:title=""/>
        </v:shape>
        <o:OLEObject Type="Embed" ProgID="Word.Picture.8" ShapeID="_x0000_i1035" DrawAspect="Content" ObjectID="_1564898404" r:id="rId2"/>
      </w:object>
    </w:r>
  </w:p>
  <w:p w:rsidR="001534DC" w:rsidRPr="00DD2EC3" w:rsidRDefault="001534DC" w:rsidP="001534DC">
    <w:pPr>
      <w:widowControl/>
      <w:autoSpaceDE/>
      <w:autoSpaceDN/>
      <w:jc w:val="center"/>
      <w:rPr>
        <w:b/>
        <w:sz w:val="24"/>
        <w:szCs w:val="24"/>
        <w:lang w:val="pt-BR" w:eastAsia="pt-BR"/>
      </w:rPr>
    </w:pPr>
    <w:r w:rsidRPr="00DD2EC3">
      <w:rPr>
        <w:b/>
        <w:sz w:val="24"/>
        <w:szCs w:val="24"/>
        <w:lang w:val="pt-BR" w:eastAsia="pt-BR"/>
      </w:rPr>
      <w:t>GOVERNO DO ESTADO DE RONDÔNIA</w:t>
    </w:r>
  </w:p>
  <w:p w:rsidR="001534DC" w:rsidRPr="00DD2EC3" w:rsidRDefault="001534DC" w:rsidP="001534DC">
    <w:pPr>
      <w:widowControl/>
      <w:tabs>
        <w:tab w:val="center" w:pos="4252"/>
        <w:tab w:val="right" w:pos="8504"/>
      </w:tabs>
      <w:autoSpaceDE/>
      <w:autoSpaceDN/>
      <w:jc w:val="center"/>
      <w:rPr>
        <w:b/>
        <w:sz w:val="24"/>
        <w:szCs w:val="24"/>
        <w:lang w:val="pt-BR" w:eastAsia="pt-BR"/>
      </w:rPr>
    </w:pPr>
    <w:r w:rsidRPr="00DD2EC3">
      <w:rPr>
        <w:b/>
        <w:sz w:val="24"/>
        <w:szCs w:val="24"/>
        <w:lang w:val="pt-BR" w:eastAsia="pt-BR"/>
      </w:rPr>
      <w:t>GOVERNADORIA</w:t>
    </w:r>
  </w:p>
  <w:p w:rsidR="001534DC" w:rsidRPr="001534DC" w:rsidRDefault="001534D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92394"/>
    <w:multiLevelType w:val="hybridMultilevel"/>
    <w:tmpl w:val="31865DA4"/>
    <w:lvl w:ilvl="0" w:tplc="15A0E6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5F744B"/>
    <w:multiLevelType w:val="hybridMultilevel"/>
    <w:tmpl w:val="C156992C"/>
    <w:lvl w:ilvl="0" w:tplc="F90284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8D2197"/>
    <w:multiLevelType w:val="hybridMultilevel"/>
    <w:tmpl w:val="98602914"/>
    <w:lvl w:ilvl="0" w:tplc="49C8E378">
      <w:numFmt w:val="bullet"/>
      <w:lvlText w:val="·"/>
      <w:lvlJc w:val="left"/>
      <w:pPr>
        <w:ind w:left="2923" w:hanging="2924"/>
      </w:pPr>
      <w:rPr>
        <w:rFonts w:ascii="Arial" w:eastAsia="Arial" w:hAnsi="Arial" w:cs="Arial" w:hint="default"/>
        <w:i/>
        <w:w w:val="34"/>
        <w:sz w:val="19"/>
        <w:szCs w:val="19"/>
      </w:rPr>
    </w:lvl>
    <w:lvl w:ilvl="1" w:tplc="2CF2B7F0">
      <w:numFmt w:val="bullet"/>
      <w:lvlText w:val="•"/>
      <w:lvlJc w:val="left"/>
      <w:pPr>
        <w:ind w:left="3010" w:hanging="2924"/>
      </w:pPr>
      <w:rPr>
        <w:rFonts w:hint="default"/>
      </w:rPr>
    </w:lvl>
    <w:lvl w:ilvl="2" w:tplc="19F070EA">
      <w:numFmt w:val="bullet"/>
      <w:lvlText w:val="•"/>
      <w:lvlJc w:val="left"/>
      <w:pPr>
        <w:ind w:left="3101" w:hanging="2924"/>
      </w:pPr>
      <w:rPr>
        <w:rFonts w:hint="default"/>
      </w:rPr>
    </w:lvl>
    <w:lvl w:ilvl="3" w:tplc="27D474E2">
      <w:numFmt w:val="bullet"/>
      <w:lvlText w:val="•"/>
      <w:lvlJc w:val="left"/>
      <w:pPr>
        <w:ind w:left="3192" w:hanging="2924"/>
      </w:pPr>
      <w:rPr>
        <w:rFonts w:hint="default"/>
      </w:rPr>
    </w:lvl>
    <w:lvl w:ilvl="4" w:tplc="A44EAFD8">
      <w:numFmt w:val="bullet"/>
      <w:lvlText w:val="•"/>
      <w:lvlJc w:val="left"/>
      <w:pPr>
        <w:ind w:left="3283" w:hanging="2924"/>
      </w:pPr>
      <w:rPr>
        <w:rFonts w:hint="default"/>
      </w:rPr>
    </w:lvl>
    <w:lvl w:ilvl="5" w:tplc="95FA18BC">
      <w:numFmt w:val="bullet"/>
      <w:lvlText w:val="•"/>
      <w:lvlJc w:val="left"/>
      <w:pPr>
        <w:ind w:left="3373" w:hanging="2924"/>
      </w:pPr>
      <w:rPr>
        <w:rFonts w:hint="default"/>
      </w:rPr>
    </w:lvl>
    <w:lvl w:ilvl="6" w:tplc="43C0A382">
      <w:numFmt w:val="bullet"/>
      <w:lvlText w:val="•"/>
      <w:lvlJc w:val="left"/>
      <w:pPr>
        <w:ind w:left="3464" w:hanging="2924"/>
      </w:pPr>
      <w:rPr>
        <w:rFonts w:hint="default"/>
      </w:rPr>
    </w:lvl>
    <w:lvl w:ilvl="7" w:tplc="46B4C8C4">
      <w:numFmt w:val="bullet"/>
      <w:lvlText w:val="•"/>
      <w:lvlJc w:val="left"/>
      <w:pPr>
        <w:ind w:left="3555" w:hanging="2924"/>
      </w:pPr>
      <w:rPr>
        <w:rFonts w:hint="default"/>
      </w:rPr>
    </w:lvl>
    <w:lvl w:ilvl="8" w:tplc="AFAE15FE">
      <w:numFmt w:val="bullet"/>
      <w:lvlText w:val="•"/>
      <w:lvlJc w:val="left"/>
      <w:pPr>
        <w:ind w:left="3646" w:hanging="292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624C0"/>
    <w:rsid w:val="001534DC"/>
    <w:rsid w:val="00D6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  <w15:docId w15:val="{C4563210-2311-474C-8481-B1F74E85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line="876" w:lineRule="exact"/>
      <w:outlineLvl w:val="0"/>
    </w:pPr>
    <w:rPr>
      <w:rFonts w:ascii="Lucida Sans Unicode" w:eastAsia="Lucida Sans Unicode" w:hAnsi="Lucida Sans Unicode" w:cs="Lucida Sans Unicode"/>
      <w:sz w:val="60"/>
      <w:szCs w:val="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15"/>
      <w:ind w:left="2923" w:hanging="292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534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34DC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1534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4DC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153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Jannine de Souza Zanato Boa Sorte</cp:lastModifiedBy>
  <cp:revision>2</cp:revision>
  <dcterms:created xsi:type="dcterms:W3CDTF">2017-08-16T12:32:00Z</dcterms:created>
  <dcterms:modified xsi:type="dcterms:W3CDTF">2017-08-22T13:13:00Z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2017-08-16T00:00:00Z</vt:filetime>
  </property>
</Properties>
</file>