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577EC4">
        <w:rPr>
          <w:rFonts w:ascii="Times New Roman" w:hAnsi="Times New Roman" w:cs="Times New Roman"/>
          <w:sz w:val="24"/>
          <w:szCs w:val="24"/>
        </w:rPr>
        <w:t>42</w:t>
      </w:r>
      <w:r w:rsidR="00B6466B">
        <w:rPr>
          <w:rFonts w:ascii="Times New Roman" w:hAnsi="Times New Roman" w:cs="Times New Roman"/>
          <w:sz w:val="24"/>
          <w:szCs w:val="24"/>
        </w:rPr>
        <w:t>5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EC4">
        <w:rPr>
          <w:rFonts w:ascii="Times New Roman" w:hAnsi="Times New Roman" w:cs="Times New Roman"/>
          <w:sz w:val="24"/>
          <w:szCs w:val="24"/>
        </w:rPr>
        <w:t>21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577EC4">
        <w:rPr>
          <w:rFonts w:ascii="Times New Roman" w:hAnsi="Times New Roman" w:cs="Times New Roman"/>
          <w:sz w:val="24"/>
          <w:szCs w:val="24"/>
        </w:rPr>
        <w:t>SET</w:t>
      </w:r>
      <w:r w:rsidR="001E6577">
        <w:rPr>
          <w:rFonts w:ascii="Times New Roman" w:hAnsi="Times New Roman" w:cs="Times New Roman"/>
          <w:sz w:val="24"/>
          <w:szCs w:val="24"/>
        </w:rPr>
        <w:t>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B6466B" w:rsidP="00577EC4">
      <w:pPr>
        <w:pStyle w:val="SemEspaamen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a rescisão de contrato de arrendamento entre a </w:t>
      </w:r>
      <w:proofErr w:type="gramStart"/>
      <w:r>
        <w:rPr>
          <w:rFonts w:ascii="Times New Roman" w:hAnsi="Times New Roman" w:cs="Times New Roman"/>
          <w:sz w:val="24"/>
          <w:szCs w:val="24"/>
        </w:rPr>
        <w:t>CODARON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Centro de Resfriamento de Leite Ouro Preto Ltda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Pr="004D406F" w:rsidRDefault="00A64C6D" w:rsidP="004D40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4D406F" w:rsidRDefault="00C93B9B" w:rsidP="004D40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406F" w:rsidRDefault="00171669" w:rsidP="004D406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D406F">
        <w:rPr>
          <w:rFonts w:ascii="Times New Roman" w:hAnsi="Times New Roman" w:cs="Times New Roman"/>
          <w:sz w:val="24"/>
          <w:szCs w:val="24"/>
        </w:rPr>
        <w:t>O GOVERNADOR DO ESTADO DE RONDÔNIA,</w:t>
      </w:r>
      <w:r w:rsidRPr="004D4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6F" w:rsidRPr="004D406F">
        <w:rPr>
          <w:rFonts w:ascii="Times New Roman" w:hAnsi="Times New Roman" w:cs="Times New Roman"/>
          <w:sz w:val="24"/>
          <w:szCs w:val="24"/>
        </w:rPr>
        <w:t>no uso das atribuições que lhe confere o Art. 70, inciso I, da</w:t>
      </w:r>
      <w:r w:rsidR="004D406F">
        <w:rPr>
          <w:rFonts w:ascii="Times New Roman" w:hAnsi="Times New Roman" w:cs="Times New Roman"/>
          <w:sz w:val="24"/>
          <w:szCs w:val="24"/>
        </w:rPr>
        <w:t xml:space="preserve"> </w:t>
      </w:r>
      <w:r w:rsidR="004D406F" w:rsidRPr="004D406F">
        <w:rPr>
          <w:rFonts w:ascii="Times New Roman" w:hAnsi="Times New Roman" w:cs="Times New Roman"/>
          <w:sz w:val="24"/>
          <w:szCs w:val="24"/>
        </w:rPr>
        <w:t xml:space="preserve">Constituição Estadual, tendo em vista </w:t>
      </w:r>
      <w:r w:rsidR="004D406F">
        <w:rPr>
          <w:rFonts w:ascii="Times New Roman" w:hAnsi="Times New Roman" w:cs="Times New Roman"/>
          <w:sz w:val="24"/>
          <w:szCs w:val="24"/>
        </w:rPr>
        <w:t xml:space="preserve">a expressa manifestação do </w:t>
      </w:r>
      <w:r w:rsidR="004D406F" w:rsidRPr="004D406F">
        <w:rPr>
          <w:rFonts w:ascii="Times New Roman" w:hAnsi="Times New Roman" w:cs="Times New Roman"/>
          <w:sz w:val="24"/>
          <w:szCs w:val="24"/>
        </w:rPr>
        <w:t>Centro de Resfriamento de Leite O</w:t>
      </w:r>
      <w:r w:rsidR="004D406F">
        <w:rPr>
          <w:rFonts w:ascii="Times New Roman" w:hAnsi="Times New Roman" w:cs="Times New Roman"/>
          <w:sz w:val="24"/>
          <w:szCs w:val="24"/>
        </w:rPr>
        <w:t xml:space="preserve">uro Preto </w:t>
      </w:r>
      <w:proofErr w:type="spellStart"/>
      <w:r w:rsidR="004D406F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4D406F">
        <w:rPr>
          <w:rFonts w:ascii="Times New Roman" w:hAnsi="Times New Roman" w:cs="Times New Roman"/>
          <w:sz w:val="24"/>
          <w:szCs w:val="24"/>
        </w:rPr>
        <w:t xml:space="preserve"> no sentido de de</w:t>
      </w:r>
      <w:r w:rsidR="004D406F" w:rsidRPr="004D406F">
        <w:rPr>
          <w:rFonts w:ascii="Times New Roman" w:hAnsi="Times New Roman" w:cs="Times New Roman"/>
          <w:sz w:val="24"/>
          <w:szCs w:val="24"/>
        </w:rPr>
        <w:t>volver ao Estado as instalações da</w:t>
      </w:r>
      <w:r w:rsidR="004D406F">
        <w:rPr>
          <w:rFonts w:ascii="Times New Roman" w:hAnsi="Times New Roman" w:cs="Times New Roman"/>
          <w:sz w:val="24"/>
          <w:szCs w:val="24"/>
        </w:rPr>
        <w:t xml:space="preserve"> Usina de Beneficiamento de Leite de </w:t>
      </w:r>
      <w:r w:rsidR="004D406F" w:rsidRPr="004D406F">
        <w:rPr>
          <w:rFonts w:ascii="Times New Roman" w:hAnsi="Times New Roman" w:cs="Times New Roman"/>
          <w:sz w:val="24"/>
          <w:szCs w:val="24"/>
        </w:rPr>
        <w:t>Porto Velho, objeto do Contra</w:t>
      </w:r>
      <w:r w:rsidR="004D406F">
        <w:rPr>
          <w:rFonts w:ascii="Times New Roman" w:hAnsi="Times New Roman" w:cs="Times New Roman"/>
          <w:sz w:val="24"/>
          <w:szCs w:val="24"/>
        </w:rPr>
        <w:t xml:space="preserve">to de Arrendamento de 23.09.84, </w:t>
      </w:r>
      <w:r w:rsidR="004D406F" w:rsidRPr="004D406F">
        <w:rPr>
          <w:rFonts w:ascii="Times New Roman" w:hAnsi="Times New Roman" w:cs="Times New Roman"/>
          <w:sz w:val="24"/>
          <w:szCs w:val="24"/>
        </w:rPr>
        <w:t>firmado com a extinta Companhia de D</w:t>
      </w:r>
      <w:r w:rsidR="004D406F">
        <w:rPr>
          <w:rFonts w:ascii="Times New Roman" w:hAnsi="Times New Roman" w:cs="Times New Roman"/>
          <w:sz w:val="24"/>
          <w:szCs w:val="24"/>
        </w:rPr>
        <w:t>esenvolvimento Agrícola de Rondô</w:t>
      </w:r>
      <w:r w:rsidR="004D406F" w:rsidRPr="004D406F">
        <w:rPr>
          <w:rFonts w:ascii="Times New Roman" w:hAnsi="Times New Roman" w:cs="Times New Roman"/>
          <w:sz w:val="24"/>
          <w:szCs w:val="24"/>
        </w:rPr>
        <w:t>nia "CODARON", conforme Carta de 12.03.86; e</w:t>
      </w:r>
    </w:p>
    <w:p w:rsidR="004D406F" w:rsidRPr="004D406F" w:rsidRDefault="004D406F" w:rsidP="004D406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406F" w:rsidRDefault="004D406F" w:rsidP="004D40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4D406F">
        <w:rPr>
          <w:rFonts w:ascii="Times New Roman" w:hAnsi="Times New Roman" w:cs="Times New Roman"/>
          <w:sz w:val="24"/>
          <w:szCs w:val="24"/>
        </w:rPr>
        <w:t>CONSIDERANDO os termos do Parecer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6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4D406F">
        <w:rPr>
          <w:rFonts w:ascii="Times New Roman" w:hAnsi="Times New Roman" w:cs="Times New Roman"/>
          <w:sz w:val="24"/>
          <w:szCs w:val="24"/>
        </w:rPr>
        <w:t>214/PGE, admitindo a rescisão do mencionado Contrato;</w:t>
      </w:r>
    </w:p>
    <w:p w:rsidR="004D406F" w:rsidRPr="004D406F" w:rsidRDefault="004D406F" w:rsidP="004D40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Default="004D406F" w:rsidP="004D40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4D406F">
        <w:rPr>
          <w:rFonts w:ascii="Times New Roman" w:hAnsi="Times New Roman" w:cs="Times New Roman"/>
          <w:sz w:val="24"/>
          <w:szCs w:val="24"/>
        </w:rPr>
        <w:t xml:space="preserve">CONSIDERANDO que, conforme </w:t>
      </w:r>
      <w:r>
        <w:rPr>
          <w:rFonts w:ascii="Times New Roman" w:hAnsi="Times New Roman" w:cs="Times New Roman"/>
          <w:sz w:val="24"/>
          <w:szCs w:val="24"/>
        </w:rPr>
        <w:t>propos</w:t>
      </w:r>
      <w:r w:rsidRPr="004D406F">
        <w:rPr>
          <w:rFonts w:ascii="Times New Roman" w:hAnsi="Times New Roman" w:cs="Times New Roman"/>
          <w:sz w:val="24"/>
          <w:szCs w:val="24"/>
        </w:rPr>
        <w:t>ta feita pela empresa arrendatária, a rescisão amigável do Contrato ficaria condicionada à dispensa</w:t>
      </w:r>
      <w:r>
        <w:rPr>
          <w:rFonts w:ascii="Times New Roman" w:hAnsi="Times New Roman" w:cs="Times New Roman"/>
          <w:sz w:val="24"/>
          <w:szCs w:val="24"/>
        </w:rPr>
        <w:t xml:space="preserve"> do pagamento do preço do arren</w:t>
      </w:r>
      <w:r w:rsidRPr="004D406F">
        <w:rPr>
          <w:rFonts w:ascii="Times New Roman" w:hAnsi="Times New Roman" w:cs="Times New Roman"/>
          <w:sz w:val="24"/>
          <w:szCs w:val="24"/>
        </w:rPr>
        <w:t>damento, e que a Procuradoria Geral</w:t>
      </w:r>
      <w:r>
        <w:rPr>
          <w:rFonts w:ascii="Times New Roman" w:hAnsi="Times New Roman" w:cs="Times New Roman"/>
          <w:sz w:val="24"/>
          <w:szCs w:val="24"/>
        </w:rPr>
        <w:t xml:space="preserve"> do Estado, no seu parecer, não </w:t>
      </w:r>
      <w:r w:rsidRPr="004D406F">
        <w:rPr>
          <w:rFonts w:ascii="Times New Roman" w:hAnsi="Times New Roman" w:cs="Times New Roman"/>
          <w:sz w:val="24"/>
          <w:szCs w:val="24"/>
        </w:rPr>
        <w:t>admitiu a renúncia de tais direitos;</w:t>
      </w:r>
    </w:p>
    <w:p w:rsidR="004D406F" w:rsidRDefault="004D406F" w:rsidP="004D40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4D406F" w:rsidRDefault="004D406F" w:rsidP="004D40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4D406F">
        <w:rPr>
          <w:rFonts w:ascii="Times New Roman" w:hAnsi="Times New Roman" w:cs="Times New Roman"/>
          <w:sz w:val="24"/>
          <w:szCs w:val="24"/>
        </w:rPr>
        <w:t>CONSIDERANDO que</w:t>
      </w:r>
      <w:r>
        <w:rPr>
          <w:rFonts w:ascii="Times New Roman" w:hAnsi="Times New Roman" w:cs="Times New Roman"/>
          <w:sz w:val="24"/>
          <w:szCs w:val="24"/>
        </w:rPr>
        <w:t xml:space="preserve"> o descumprimento das obrigações contratuais por parte da Arrendatária está evidenciado e foi confessado e reconhecido expressamente na mencionada correspondência;</w:t>
      </w:r>
    </w:p>
    <w:p w:rsidR="004D406F" w:rsidRDefault="004D406F" w:rsidP="004D40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4D406F" w:rsidRDefault="004D406F" w:rsidP="004D40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4D406F">
        <w:rPr>
          <w:rFonts w:ascii="Times New Roman" w:hAnsi="Times New Roman" w:cs="Times New Roman"/>
          <w:sz w:val="24"/>
          <w:szCs w:val="24"/>
        </w:rPr>
        <w:t>CONSIDERANDO que</w:t>
      </w:r>
      <w:r>
        <w:rPr>
          <w:rFonts w:ascii="Times New Roman" w:hAnsi="Times New Roman" w:cs="Times New Roman"/>
          <w:sz w:val="24"/>
          <w:szCs w:val="24"/>
        </w:rPr>
        <w:t xml:space="preserve"> a Ação de Retificação de Cláusula Contratual proposta pela Arrendatária contra o Estado foi julgada improcedente, com sentença transitada em julgado (Ap. Cível nº 381/83);</w:t>
      </w:r>
    </w:p>
    <w:p w:rsidR="004D406F" w:rsidRDefault="004D406F" w:rsidP="004D40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4D406F" w:rsidRDefault="004D406F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F54F4">
        <w:rPr>
          <w:rFonts w:ascii="Times New Roman" w:hAnsi="Times New Roman" w:cs="Times New Roman"/>
          <w:sz w:val="24"/>
          <w:szCs w:val="24"/>
        </w:rPr>
        <w:t>CONSIDERANDO a informação de que o</w:t>
      </w:r>
      <w:r w:rsidR="001F54F4">
        <w:rPr>
          <w:rFonts w:ascii="Times New Roman" w:hAnsi="Times New Roman" w:cs="Times New Roman"/>
          <w:sz w:val="24"/>
          <w:szCs w:val="24"/>
        </w:rPr>
        <w:t xml:space="preserve"> </w:t>
      </w:r>
      <w:r w:rsidRPr="001F54F4">
        <w:rPr>
          <w:rFonts w:ascii="Times New Roman" w:hAnsi="Times New Roman" w:cs="Times New Roman"/>
          <w:sz w:val="24"/>
          <w:szCs w:val="24"/>
        </w:rPr>
        <w:t>imóvel se encontra em estado de abandono e com suas instalações deterioradas;</w:t>
      </w:r>
    </w:p>
    <w:p w:rsidR="001F54F4" w:rsidRP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406F" w:rsidRDefault="004D406F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F54F4">
        <w:rPr>
          <w:rFonts w:ascii="Times New Roman" w:hAnsi="Times New Roman" w:cs="Times New Roman"/>
          <w:sz w:val="24"/>
          <w:szCs w:val="24"/>
        </w:rPr>
        <w:t>CON</w:t>
      </w:r>
      <w:r w:rsidR="001F54F4">
        <w:rPr>
          <w:rFonts w:ascii="Times New Roman" w:hAnsi="Times New Roman" w:cs="Times New Roman"/>
          <w:sz w:val="24"/>
          <w:szCs w:val="24"/>
        </w:rPr>
        <w:t xml:space="preserve">SIDERANDO que a Arrendatária se </w:t>
      </w:r>
      <w:r w:rsidRPr="001F54F4">
        <w:rPr>
          <w:rFonts w:ascii="Times New Roman" w:hAnsi="Times New Roman" w:cs="Times New Roman"/>
          <w:sz w:val="24"/>
          <w:szCs w:val="24"/>
        </w:rPr>
        <w:t>comprometeu a promover a manutenção das máquinas e equipamentos e</w:t>
      </w:r>
      <w:r w:rsidR="001F54F4">
        <w:rPr>
          <w:rFonts w:ascii="Times New Roman" w:hAnsi="Times New Roman" w:cs="Times New Roman"/>
          <w:sz w:val="24"/>
          <w:szCs w:val="24"/>
        </w:rPr>
        <w:t xml:space="preserve"> </w:t>
      </w:r>
      <w:r w:rsidRPr="001F54F4">
        <w:rPr>
          <w:rFonts w:ascii="Times New Roman" w:hAnsi="Times New Roman" w:cs="Times New Roman"/>
          <w:sz w:val="24"/>
          <w:szCs w:val="24"/>
        </w:rPr>
        <w:t>não cumpriu a obrigação assumida e,</w:t>
      </w:r>
      <w:r w:rsidR="001F54F4">
        <w:rPr>
          <w:rFonts w:ascii="Times New Roman" w:hAnsi="Times New Roman" w:cs="Times New Roman"/>
          <w:sz w:val="24"/>
          <w:szCs w:val="24"/>
        </w:rPr>
        <w:t xml:space="preserve"> </w:t>
      </w:r>
      <w:r w:rsidRPr="001F54F4">
        <w:rPr>
          <w:rFonts w:ascii="Times New Roman" w:hAnsi="Times New Roman" w:cs="Times New Roman"/>
          <w:sz w:val="24"/>
          <w:szCs w:val="24"/>
        </w:rPr>
        <w:t>finalmente;</w:t>
      </w:r>
    </w:p>
    <w:p w:rsidR="001F54F4" w:rsidRP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08B0" w:rsidRPr="00C93B9B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que, conforme ajuste </w:t>
      </w:r>
      <w:r w:rsidR="004D406F" w:rsidRPr="001F54F4">
        <w:rPr>
          <w:rFonts w:ascii="Times New Roman" w:hAnsi="Times New Roman" w:cs="Times New Roman"/>
          <w:sz w:val="24"/>
          <w:szCs w:val="24"/>
        </w:rPr>
        <w:t>entre as partes, o Contrato será rescindido de pleno direito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06F" w:rsidRPr="001F54F4">
        <w:rPr>
          <w:rFonts w:ascii="Times New Roman" w:hAnsi="Times New Roman" w:cs="Times New Roman"/>
          <w:sz w:val="24"/>
          <w:szCs w:val="24"/>
        </w:rPr>
        <w:t>o desc</w:t>
      </w:r>
      <w:r>
        <w:rPr>
          <w:rFonts w:ascii="Times New Roman" w:hAnsi="Times New Roman" w:cs="Times New Roman"/>
          <w:sz w:val="24"/>
          <w:szCs w:val="24"/>
        </w:rPr>
        <w:t>umprimento de quaisquer das cláu</w:t>
      </w:r>
      <w:r w:rsidRPr="001F54F4">
        <w:rPr>
          <w:rFonts w:ascii="Times New Roman" w:hAnsi="Times New Roman" w:cs="Times New Roman"/>
          <w:sz w:val="24"/>
          <w:szCs w:val="24"/>
        </w:rPr>
        <w:t>sulas</w:t>
      </w:r>
      <w:r w:rsidR="004D406F" w:rsidRPr="001F54F4">
        <w:rPr>
          <w:rFonts w:ascii="Times New Roman" w:hAnsi="Times New Roman" w:cs="Times New Roman"/>
          <w:sz w:val="24"/>
          <w:szCs w:val="24"/>
        </w:rPr>
        <w:t xml:space="preserve"> </w:t>
      </w:r>
      <w:r w:rsidR="004D406F" w:rsidRPr="001F54F4">
        <w:rPr>
          <w:rFonts w:ascii="Times New Roman" w:hAnsi="Times New Roman" w:cs="Times New Roman"/>
          <w:sz w:val="24"/>
          <w:szCs w:val="24"/>
          <w:u w:val="single"/>
        </w:rPr>
        <w:t>contratuais,</w:t>
      </w:r>
      <w:r w:rsidRPr="001F54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06F" w:rsidRPr="001F54F4">
        <w:rPr>
          <w:rFonts w:ascii="Times New Roman" w:hAnsi="Times New Roman" w:cs="Times New Roman"/>
          <w:sz w:val="24"/>
          <w:szCs w:val="24"/>
          <w:u w:val="single"/>
        </w:rPr>
        <w:t>independen</w:t>
      </w:r>
      <w:r w:rsidR="004D406F" w:rsidRPr="001F54F4">
        <w:rPr>
          <w:rFonts w:ascii="Times New Roman" w:hAnsi="Times New Roman" w:cs="Times New Roman"/>
          <w:sz w:val="24"/>
          <w:szCs w:val="24"/>
        </w:rPr>
        <w:t>temente de notificação ou interpe</w:t>
      </w:r>
      <w:r>
        <w:rPr>
          <w:rFonts w:ascii="Times New Roman" w:hAnsi="Times New Roman" w:cs="Times New Roman"/>
          <w:sz w:val="24"/>
          <w:szCs w:val="24"/>
        </w:rPr>
        <w:t>lação judicial ou extrajudicial</w:t>
      </w:r>
      <w:r w:rsidR="004D406F" w:rsidRPr="001F54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06F" w:rsidRPr="001F54F4">
        <w:rPr>
          <w:rFonts w:ascii="Times New Roman" w:hAnsi="Times New Roman" w:cs="Times New Roman"/>
          <w:sz w:val="24"/>
          <w:szCs w:val="24"/>
        </w:rPr>
        <w:t>e que, mesmo assim foi a Arrendatária interpelada, sem resultado,</w:t>
      </w:r>
    </w:p>
    <w:p w:rsidR="0040250E" w:rsidRDefault="00171669" w:rsidP="001F54F4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00">
        <w:rPr>
          <w:rFonts w:ascii="Times New Roman" w:hAnsi="Times New Roman" w:cs="Times New Roman"/>
          <w:b/>
          <w:sz w:val="24"/>
          <w:szCs w:val="24"/>
        </w:rPr>
        <w:lastRenderedPageBreak/>
        <w:t>D E C R E T A</w:t>
      </w:r>
      <w:r w:rsidR="005D3B78" w:rsidRPr="00481D00">
        <w:rPr>
          <w:rFonts w:ascii="Times New Roman" w:hAnsi="Times New Roman" w:cs="Times New Roman"/>
          <w:b/>
          <w:sz w:val="24"/>
          <w:szCs w:val="24"/>
        </w:rPr>
        <w:t>:</w:t>
      </w:r>
      <w:r w:rsidRPr="0048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4F4" w:rsidRPr="001F54F4" w:rsidRDefault="001F54F4" w:rsidP="001F54F4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4F4" w:rsidRDefault="00171669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F54F4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1F54F4" w:rsidRPr="001F54F4">
        <w:rPr>
          <w:rFonts w:ascii="Times New Roman" w:hAnsi="Times New Roman" w:cs="Times New Roman"/>
          <w:sz w:val="24"/>
          <w:szCs w:val="24"/>
        </w:rPr>
        <w:t>Fica rescindido unilateralmente o contrato de arrendamento firmado em 23 de setembro de</w:t>
      </w:r>
      <w:r w:rsidR="001F54F4">
        <w:rPr>
          <w:rFonts w:ascii="Times New Roman" w:hAnsi="Times New Roman" w:cs="Times New Roman"/>
          <w:sz w:val="24"/>
          <w:szCs w:val="24"/>
        </w:rPr>
        <w:t xml:space="preserve"> </w:t>
      </w:r>
      <w:r w:rsidR="001F54F4" w:rsidRPr="001F54F4">
        <w:rPr>
          <w:rFonts w:ascii="Times New Roman" w:hAnsi="Times New Roman" w:cs="Times New Roman"/>
          <w:sz w:val="24"/>
          <w:szCs w:val="24"/>
        </w:rPr>
        <w:t>1984, entre a extinta CODARON, sucedida pelo Governo de Rondônia,</w:t>
      </w:r>
      <w:r w:rsidR="001F54F4">
        <w:rPr>
          <w:rFonts w:ascii="Times New Roman" w:hAnsi="Times New Roman" w:cs="Times New Roman"/>
          <w:sz w:val="24"/>
          <w:szCs w:val="24"/>
        </w:rPr>
        <w:t xml:space="preserve"> </w:t>
      </w:r>
      <w:r w:rsidR="001F54F4" w:rsidRPr="001F54F4">
        <w:rPr>
          <w:rFonts w:ascii="Times New Roman" w:hAnsi="Times New Roman" w:cs="Times New Roman"/>
          <w:sz w:val="24"/>
          <w:szCs w:val="24"/>
        </w:rPr>
        <w:t>e o Centro de Resfriamento de Leite Ouro Preto Ltda.</w:t>
      </w:r>
    </w:p>
    <w:p w:rsidR="001F54F4" w:rsidRP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1F5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 imóvel objeto do Contra</w:t>
      </w:r>
      <w:r w:rsidRPr="001F54F4">
        <w:rPr>
          <w:rFonts w:ascii="Times New Roman" w:hAnsi="Times New Roman" w:cs="Times New Roman"/>
          <w:sz w:val="24"/>
          <w:szCs w:val="24"/>
        </w:rPr>
        <w:t>to rescindido poderá ser utilizado pela Secretaria de Estado da In</w:t>
      </w:r>
      <w:r>
        <w:rPr>
          <w:rFonts w:ascii="Times New Roman" w:hAnsi="Times New Roman" w:cs="Times New Roman"/>
          <w:sz w:val="24"/>
          <w:szCs w:val="24"/>
        </w:rPr>
        <w:t>dú</w:t>
      </w:r>
      <w:r w:rsidRPr="001F54F4">
        <w:rPr>
          <w:rFonts w:ascii="Times New Roman" w:hAnsi="Times New Roman" w:cs="Times New Roman"/>
          <w:sz w:val="24"/>
          <w:szCs w:val="24"/>
        </w:rPr>
        <w:t>stria, Comércio, Ciência e Tecnologia - SIC, para nele implantar o Laboratório de Pesquisas Tecnológicas de Rondônia, assim como o Laboratório de Tecnologia da Borracha, ambos partes integrantes do Plano do Governo na área de Ciência e Tecnologia.</w:t>
      </w:r>
    </w:p>
    <w:p w:rsidR="001F54F4" w:rsidRP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1F5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Fica a Secretaria de Esta</w:t>
      </w:r>
      <w:r w:rsidRPr="001F54F4">
        <w:rPr>
          <w:rFonts w:ascii="Times New Roman" w:hAnsi="Times New Roman" w:cs="Times New Roman"/>
          <w:sz w:val="24"/>
          <w:szCs w:val="24"/>
        </w:rPr>
        <w:t>do da Indústria, Comércio, Ciência e Tecnologia-SIC autorizada a</w:t>
      </w:r>
      <w:r>
        <w:rPr>
          <w:rFonts w:ascii="Times New Roman" w:hAnsi="Times New Roman" w:cs="Times New Roman"/>
          <w:sz w:val="24"/>
          <w:szCs w:val="24"/>
        </w:rPr>
        <w:t xml:space="preserve"> constituir Comissão Especializada de Servidores para decidir sobre a recuperação e utilização das máquinas e equipamentos de beneficiamento de leite.</w:t>
      </w:r>
    </w:p>
    <w:p w:rsid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F54F4">
        <w:rPr>
          <w:rFonts w:ascii="Times New Roman" w:hAnsi="Times New Roman" w:cs="Times New Roman"/>
          <w:b/>
          <w:sz w:val="24"/>
          <w:szCs w:val="24"/>
        </w:rPr>
        <w:t xml:space="preserve">Art. 4º - </w:t>
      </w:r>
      <w:r w:rsidR="008E0A50" w:rsidRPr="008E0A50">
        <w:rPr>
          <w:rFonts w:ascii="Times New Roman" w:hAnsi="Times New Roman" w:cs="Times New Roman"/>
          <w:sz w:val="24"/>
          <w:szCs w:val="24"/>
        </w:rPr>
        <w:t>A Comissão a ser constituída lavrará auto circunstanciado a respeito dos bens existentes descrevendo, detalhadamente, o estado em que se encontram, orçando o custo da recuperação dos mesmos, calculando, desta forma, o valor real dos prejuízos sofridos pelo Estado.</w:t>
      </w:r>
    </w:p>
    <w:p w:rsidR="00B62833" w:rsidRDefault="00B62833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62833">
        <w:rPr>
          <w:rFonts w:ascii="Times New Roman" w:hAnsi="Times New Roman" w:cs="Times New Roman"/>
          <w:b/>
          <w:bCs/>
          <w:sz w:val="24"/>
          <w:szCs w:val="24"/>
        </w:rPr>
        <w:t>Art. 5</w:t>
      </w:r>
      <w:r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B62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833">
        <w:rPr>
          <w:rFonts w:ascii="Times New Roman" w:hAnsi="Times New Roman" w:cs="Times New Roman"/>
          <w:sz w:val="24"/>
          <w:szCs w:val="24"/>
        </w:rPr>
        <w:t>- A Procuradoria Geral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33">
        <w:rPr>
          <w:rFonts w:ascii="Times New Roman" w:hAnsi="Times New Roman" w:cs="Times New Roman"/>
          <w:sz w:val="24"/>
          <w:szCs w:val="24"/>
        </w:rPr>
        <w:t>Estado tomará as providências para que os cofres do Estado sejam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33">
        <w:rPr>
          <w:rFonts w:ascii="Times New Roman" w:hAnsi="Times New Roman" w:cs="Times New Roman"/>
          <w:sz w:val="24"/>
          <w:szCs w:val="24"/>
        </w:rPr>
        <w:t>ressarcidos de tais prejuízos.</w:t>
      </w:r>
    </w:p>
    <w:p w:rsidR="00B62833" w:rsidRP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P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62833">
        <w:rPr>
          <w:rFonts w:ascii="Times New Roman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B62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Este Decreto entra em vi</w:t>
      </w:r>
      <w:r w:rsidRPr="00B62833">
        <w:rPr>
          <w:rFonts w:ascii="Times New Roman" w:hAnsi="Times New Roman" w:cs="Times New Roman"/>
          <w:sz w:val="24"/>
          <w:szCs w:val="24"/>
        </w:rPr>
        <w:t>gor na data de sua publicação, revogadas as disposições em contrário.</w:t>
      </w:r>
    </w:p>
    <w:p w:rsid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P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62833">
        <w:rPr>
          <w:rFonts w:ascii="Times New Roman" w:hAnsi="Times New Roman" w:cs="Times New Roman"/>
          <w:sz w:val="24"/>
          <w:szCs w:val="24"/>
        </w:rPr>
        <w:t>Palá</w:t>
      </w:r>
      <w:r>
        <w:rPr>
          <w:rFonts w:ascii="Times New Roman" w:hAnsi="Times New Roman" w:cs="Times New Roman"/>
          <w:sz w:val="24"/>
          <w:szCs w:val="24"/>
        </w:rPr>
        <w:t>cio do Governo do Estado de Rondô</w:t>
      </w:r>
      <w:r w:rsidRPr="00B62833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, em 21 de setembro de 1987, 99º</w:t>
      </w:r>
      <w:r w:rsidRPr="00B6283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669" w:rsidRPr="0012636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6C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254ACD" w:rsidRPr="0012636C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6C">
        <w:rPr>
          <w:rFonts w:ascii="Times New Roman" w:hAnsi="Times New Roman" w:cs="Times New Roman"/>
          <w:b/>
          <w:sz w:val="24"/>
          <w:szCs w:val="24"/>
        </w:rPr>
        <w:t>G</w:t>
      </w:r>
      <w:r w:rsidR="005C5AB4" w:rsidRPr="0012636C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918628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2636C"/>
    <w:rsid w:val="00137168"/>
    <w:rsid w:val="00171669"/>
    <w:rsid w:val="00180FEC"/>
    <w:rsid w:val="001971E8"/>
    <w:rsid w:val="001E6577"/>
    <w:rsid w:val="001F54F4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871C6"/>
    <w:rsid w:val="003A3794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81D00"/>
    <w:rsid w:val="004D406F"/>
    <w:rsid w:val="004D4ABB"/>
    <w:rsid w:val="004E5993"/>
    <w:rsid w:val="004F3DAC"/>
    <w:rsid w:val="004F4122"/>
    <w:rsid w:val="004F55CF"/>
    <w:rsid w:val="00556A2B"/>
    <w:rsid w:val="00560CB1"/>
    <w:rsid w:val="00577EC4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77ED4"/>
    <w:rsid w:val="00781B71"/>
    <w:rsid w:val="007A27DF"/>
    <w:rsid w:val="007A43B2"/>
    <w:rsid w:val="007E1F1E"/>
    <w:rsid w:val="007F17BA"/>
    <w:rsid w:val="007F5BC2"/>
    <w:rsid w:val="00807ABB"/>
    <w:rsid w:val="008408B0"/>
    <w:rsid w:val="0089659D"/>
    <w:rsid w:val="008B0980"/>
    <w:rsid w:val="008E0A50"/>
    <w:rsid w:val="008F2917"/>
    <w:rsid w:val="0091586E"/>
    <w:rsid w:val="0092119F"/>
    <w:rsid w:val="00924752"/>
    <w:rsid w:val="00935572"/>
    <w:rsid w:val="00965C24"/>
    <w:rsid w:val="00970B5D"/>
    <w:rsid w:val="009D30B7"/>
    <w:rsid w:val="00A03E6E"/>
    <w:rsid w:val="00A07614"/>
    <w:rsid w:val="00A107B7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62833"/>
    <w:rsid w:val="00B6466B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CD6A3D"/>
    <w:rsid w:val="00D16619"/>
    <w:rsid w:val="00D3361D"/>
    <w:rsid w:val="00D34183"/>
    <w:rsid w:val="00D353EC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EF77D8"/>
    <w:rsid w:val="00F23918"/>
    <w:rsid w:val="00F60D32"/>
    <w:rsid w:val="00F76B76"/>
    <w:rsid w:val="00F83691"/>
    <w:rsid w:val="00FC5543"/>
    <w:rsid w:val="00FD6644"/>
    <w:rsid w:val="00FE0907"/>
    <w:rsid w:val="00FF506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816D-120F-4AD3-9D0C-B45D9A00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5</cp:revision>
  <dcterms:created xsi:type="dcterms:W3CDTF">2017-09-26T11:59:00Z</dcterms:created>
  <dcterms:modified xsi:type="dcterms:W3CDTF">2017-09-26T12:11:00Z</dcterms:modified>
</cp:coreProperties>
</file>