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FF" w:rsidRPr="009A5438" w:rsidRDefault="00CF40FF" w:rsidP="009A5438">
      <w:pPr>
        <w:jc w:val="center"/>
        <w:rPr>
          <w:rFonts w:eastAsia="Times New Roman"/>
        </w:rPr>
      </w:pPr>
      <w:r w:rsidRPr="009A5438">
        <w:rPr>
          <w:rFonts w:eastAsia="Times New Roman"/>
        </w:rPr>
        <w:t>DECRETO N.</w:t>
      </w:r>
      <w:r w:rsidR="00EA646D">
        <w:rPr>
          <w:rFonts w:eastAsia="Times New Roman"/>
        </w:rPr>
        <w:t xml:space="preserve"> 23.957,</w:t>
      </w:r>
      <w:r w:rsidR="00B40252" w:rsidRPr="009A5438">
        <w:rPr>
          <w:rFonts w:eastAsia="Times New Roman"/>
        </w:rPr>
        <w:t xml:space="preserve"> DE</w:t>
      </w:r>
      <w:r w:rsidR="00EA646D">
        <w:rPr>
          <w:rFonts w:eastAsia="Times New Roman"/>
        </w:rPr>
        <w:t xml:space="preserve"> 13 </w:t>
      </w:r>
      <w:r w:rsidR="00B40252" w:rsidRPr="009A5438">
        <w:rPr>
          <w:rFonts w:eastAsia="Times New Roman"/>
        </w:rPr>
        <w:t>DE JUNH</w:t>
      </w:r>
      <w:r w:rsidRPr="009A5438">
        <w:rPr>
          <w:rFonts w:eastAsia="Times New Roman"/>
        </w:rPr>
        <w:t xml:space="preserve">O </w:t>
      </w:r>
      <w:r w:rsidR="00E411B4" w:rsidRPr="009A5438">
        <w:rPr>
          <w:rFonts w:eastAsia="Times New Roman"/>
        </w:rPr>
        <w:t>DE 2019.</w:t>
      </w:r>
      <w:bookmarkStart w:id="0" w:name="_GoBack"/>
      <w:bookmarkEnd w:id="0"/>
    </w:p>
    <w:p w:rsidR="009559BE" w:rsidRPr="009A5438" w:rsidRDefault="009559BE" w:rsidP="009A5438">
      <w:pPr>
        <w:ind w:left="4536"/>
        <w:jc w:val="both"/>
        <w:rPr>
          <w:i/>
        </w:rPr>
      </w:pPr>
    </w:p>
    <w:p w:rsidR="009A5438" w:rsidRPr="009A5438" w:rsidRDefault="009A5438" w:rsidP="009A5438">
      <w:pPr>
        <w:ind w:left="4962"/>
        <w:jc w:val="both"/>
        <w:rPr>
          <w:rFonts w:eastAsia="Times New Roman"/>
        </w:rPr>
      </w:pPr>
      <w:r w:rsidRPr="009A5438">
        <w:t xml:space="preserve">Abre no Orçamento-Programa Anual do Estado de Rondônia Crédito Suplementar por </w:t>
      </w:r>
      <w:proofErr w:type="spellStart"/>
      <w:r w:rsidRPr="009A5438">
        <w:t>Superavit</w:t>
      </w:r>
      <w:proofErr w:type="spellEnd"/>
      <w:r w:rsidRPr="009A5438">
        <w:t xml:space="preserve"> Financeiro, até o valor de R$ 9.363.362,58, para reforço de dotações consignadas no vigente orçamento.</w:t>
      </w:r>
    </w:p>
    <w:p w:rsidR="006C5D2E" w:rsidRPr="009A5438" w:rsidRDefault="006C5D2E" w:rsidP="009A5438">
      <w:pPr>
        <w:ind w:left="4536"/>
        <w:jc w:val="both"/>
        <w:rPr>
          <w:rFonts w:eastAsia="Times New Roman"/>
        </w:rPr>
      </w:pPr>
    </w:p>
    <w:p w:rsidR="006C5D2E" w:rsidRPr="009A5438" w:rsidRDefault="00E411B4" w:rsidP="009A5438">
      <w:pPr>
        <w:ind w:firstLine="567"/>
        <w:jc w:val="both"/>
        <w:rPr>
          <w:rFonts w:eastAsia="Times New Roman"/>
        </w:rPr>
      </w:pPr>
      <w:r w:rsidRPr="009A5438">
        <w:rPr>
          <w:rFonts w:eastAsia="Times New Roman"/>
        </w:rPr>
        <w:t>O GOVERNADOR DO ESTADO DE RONDÔNIA, no uso das atribuições que lhe</w:t>
      </w:r>
      <w:r w:rsidR="00892619" w:rsidRPr="009A5438">
        <w:rPr>
          <w:rFonts w:eastAsia="Times New Roman"/>
        </w:rPr>
        <w:t xml:space="preserve"> confere o artigo 65, inciso V </w:t>
      </w:r>
      <w:r w:rsidRPr="009A5438">
        <w:rPr>
          <w:rFonts w:eastAsia="Times New Roman"/>
        </w:rPr>
        <w:t>da Constituição do Estado e n</w:t>
      </w:r>
      <w:r w:rsidR="00892619" w:rsidRPr="009A5438">
        <w:rPr>
          <w:rFonts w:eastAsia="Times New Roman"/>
        </w:rPr>
        <w:t xml:space="preserve">os termos da </w:t>
      </w:r>
      <w:r w:rsidR="009559BE" w:rsidRPr="009A5438">
        <w:rPr>
          <w:rFonts w:eastAsia="Times New Roman"/>
        </w:rPr>
        <w:t>Lei nº 4.51</w:t>
      </w:r>
      <w:r w:rsidR="009A5438" w:rsidRPr="009A5438">
        <w:rPr>
          <w:rFonts w:eastAsia="Times New Roman"/>
        </w:rPr>
        <w:t>0</w:t>
      </w:r>
      <w:r w:rsidR="009559BE" w:rsidRPr="009A5438">
        <w:rPr>
          <w:rFonts w:eastAsia="Times New Roman"/>
        </w:rPr>
        <w:t>, de 4 de junho de 2019</w:t>
      </w:r>
      <w:r w:rsidRPr="009A5438">
        <w:rPr>
          <w:rFonts w:eastAsia="Times New Roman"/>
        </w:rPr>
        <w:t xml:space="preserve">, </w:t>
      </w:r>
    </w:p>
    <w:p w:rsidR="006C5D2E" w:rsidRPr="009A5438" w:rsidRDefault="006C5D2E" w:rsidP="009A5438">
      <w:pPr>
        <w:ind w:firstLine="567"/>
        <w:jc w:val="both"/>
        <w:rPr>
          <w:rFonts w:eastAsia="Times New Roman"/>
        </w:rPr>
      </w:pPr>
    </w:p>
    <w:p w:rsidR="006C5D2E" w:rsidRPr="009A5438" w:rsidRDefault="00E411B4" w:rsidP="009A5438">
      <w:pPr>
        <w:ind w:firstLine="567"/>
        <w:jc w:val="both"/>
        <w:rPr>
          <w:rFonts w:eastAsia="Times New Roman"/>
          <w:spacing w:val="30"/>
        </w:rPr>
      </w:pPr>
      <w:r w:rsidRPr="009A5438">
        <w:rPr>
          <w:rFonts w:eastAsia="Times New Roman"/>
          <w:spacing w:val="30"/>
          <w:u w:val="single"/>
        </w:rPr>
        <w:t>D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E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C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R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E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T</w:t>
      </w:r>
      <w:r w:rsidRPr="009A5438">
        <w:rPr>
          <w:rFonts w:eastAsia="Times New Roman"/>
          <w:spacing w:val="30"/>
        </w:rPr>
        <w:t xml:space="preserve"> </w:t>
      </w:r>
      <w:r w:rsidRPr="009A5438">
        <w:rPr>
          <w:rFonts w:eastAsia="Times New Roman"/>
          <w:spacing w:val="30"/>
          <w:u w:val="single"/>
        </w:rPr>
        <w:t>A</w:t>
      </w:r>
      <w:r w:rsidRPr="009A5438">
        <w:rPr>
          <w:rFonts w:eastAsia="Times New Roman"/>
          <w:spacing w:val="30"/>
        </w:rPr>
        <w:t xml:space="preserve">: </w:t>
      </w:r>
    </w:p>
    <w:p w:rsidR="009A5438" w:rsidRPr="009A5438" w:rsidRDefault="009A5438" w:rsidP="009A5438">
      <w:pPr>
        <w:ind w:firstLine="567"/>
        <w:jc w:val="both"/>
      </w:pPr>
    </w:p>
    <w:p w:rsidR="009A5438" w:rsidRPr="009A5438" w:rsidRDefault="009A5438" w:rsidP="009A5438">
      <w:pPr>
        <w:ind w:firstLine="567"/>
        <w:jc w:val="both"/>
      </w:pPr>
      <w:r w:rsidRPr="009A5438">
        <w:t xml:space="preserve">Art. 1º. Fica aberto no Orçamento-Programa Anual do Estado de Rondônia Crédito Suplementar por </w:t>
      </w:r>
      <w:proofErr w:type="spellStart"/>
      <w:r w:rsidRPr="009A5438">
        <w:t>Superavit</w:t>
      </w:r>
      <w:proofErr w:type="spellEnd"/>
      <w:r w:rsidRPr="009A5438">
        <w:t xml:space="preserve"> Financeiro, até o valor de R$ 9.363.362,58 (nove milhões, trezentos e sessenta e três mil, trezentos e sessenta e dois reais e cinquenta e oito centavos), em favor da Unidade Orçamentária Fundo Especial da Defensoria Pública do Estado de Rondônia - FUNDEP, para atendimento de despesas correntes e de capital, no presente exercício, indicadas no Anexo I deste Decreto. </w:t>
      </w:r>
    </w:p>
    <w:p w:rsidR="009559BE" w:rsidRPr="009A5438" w:rsidRDefault="009559BE" w:rsidP="009A5438">
      <w:pPr>
        <w:ind w:firstLine="567"/>
        <w:jc w:val="both"/>
      </w:pPr>
    </w:p>
    <w:p w:rsidR="009559BE" w:rsidRPr="009A5438" w:rsidRDefault="009559BE" w:rsidP="009A5438">
      <w:pPr>
        <w:ind w:firstLine="567"/>
        <w:jc w:val="both"/>
      </w:pPr>
      <w:r w:rsidRPr="009A5438">
        <w:t xml:space="preserve">Parágrafo único. O </w:t>
      </w:r>
      <w:proofErr w:type="spellStart"/>
      <w:r w:rsidRPr="009A5438">
        <w:t>superavit</w:t>
      </w:r>
      <w:proofErr w:type="spellEnd"/>
      <w:r w:rsidRPr="009A5438">
        <w:t xml:space="preserve"> financeiro indicado no caput deste artigo é proveniente da reprogramação do saldo financeiro do exercício de 2018</w:t>
      </w:r>
      <w:r w:rsidR="001737FE" w:rsidRPr="009A5438">
        <w:t>,</w:t>
      </w:r>
      <w:r w:rsidRPr="009A5438">
        <w:t xml:space="preserve"> apurado no balanço patrimonial, nas conciliações e extratos das contas bancárias específicas.</w:t>
      </w:r>
    </w:p>
    <w:p w:rsidR="006C5D2E" w:rsidRPr="009A5438" w:rsidRDefault="006C5D2E" w:rsidP="009A5438">
      <w:pPr>
        <w:ind w:firstLine="567"/>
        <w:jc w:val="both"/>
        <w:rPr>
          <w:rFonts w:eastAsia="Times New Roman"/>
        </w:rPr>
      </w:pPr>
    </w:p>
    <w:p w:rsidR="006C5D2E" w:rsidRPr="009A5438" w:rsidRDefault="00E411B4" w:rsidP="009A5438">
      <w:pPr>
        <w:ind w:firstLine="567"/>
        <w:jc w:val="both"/>
        <w:rPr>
          <w:rFonts w:eastAsia="Times New Roman"/>
        </w:rPr>
      </w:pPr>
      <w:r w:rsidRPr="009A5438">
        <w:rPr>
          <w:rFonts w:eastAsia="Times New Roman"/>
        </w:rPr>
        <w:t xml:space="preserve">Art. </w:t>
      </w:r>
      <w:r w:rsidR="009559BE" w:rsidRPr="009A5438">
        <w:rPr>
          <w:rFonts w:eastAsia="Times New Roman"/>
        </w:rPr>
        <w:t>2</w:t>
      </w:r>
      <w:r w:rsidRPr="009A5438">
        <w:rPr>
          <w:rFonts w:eastAsia="Times New Roman"/>
        </w:rPr>
        <w:t xml:space="preserve">º. Este Decreto entra em vigor na data de sua publicação. </w:t>
      </w:r>
    </w:p>
    <w:p w:rsidR="006C5D2E" w:rsidRPr="009A5438" w:rsidRDefault="006C5D2E" w:rsidP="009A5438">
      <w:pPr>
        <w:ind w:firstLine="567"/>
        <w:jc w:val="both"/>
        <w:rPr>
          <w:rFonts w:eastAsia="Times New Roman"/>
        </w:rPr>
      </w:pPr>
    </w:p>
    <w:p w:rsidR="00410C16" w:rsidRPr="009A5438" w:rsidRDefault="00E411B4" w:rsidP="009A5438">
      <w:pPr>
        <w:ind w:firstLine="567"/>
        <w:jc w:val="both"/>
        <w:rPr>
          <w:rFonts w:eastAsia="Times New Roman"/>
        </w:rPr>
      </w:pPr>
      <w:r w:rsidRPr="009A5438">
        <w:rPr>
          <w:rFonts w:eastAsia="Times New Roman"/>
        </w:rPr>
        <w:t>Palácio do Governo d</w:t>
      </w:r>
      <w:r w:rsidR="0000016D" w:rsidRPr="009A5438">
        <w:rPr>
          <w:rFonts w:eastAsia="Times New Roman"/>
        </w:rPr>
        <w:t>o Estado</w:t>
      </w:r>
      <w:r w:rsidR="00E918C7" w:rsidRPr="009A5438">
        <w:rPr>
          <w:rFonts w:eastAsia="Times New Roman"/>
        </w:rPr>
        <w:t xml:space="preserve"> de Rondônia, em</w:t>
      </w:r>
      <w:r w:rsidR="00EA646D">
        <w:rPr>
          <w:rFonts w:eastAsia="Times New Roman"/>
        </w:rPr>
        <w:t xml:space="preserve"> 13 d</w:t>
      </w:r>
      <w:r w:rsidR="00E918C7" w:rsidRPr="009A5438">
        <w:rPr>
          <w:rFonts w:eastAsia="Times New Roman"/>
        </w:rPr>
        <w:t>e junh</w:t>
      </w:r>
      <w:r w:rsidR="0000016D" w:rsidRPr="009A5438">
        <w:rPr>
          <w:rFonts w:eastAsia="Times New Roman"/>
        </w:rPr>
        <w:t xml:space="preserve">o </w:t>
      </w:r>
      <w:r w:rsidR="006C5D2E" w:rsidRPr="009A5438">
        <w:rPr>
          <w:rFonts w:eastAsia="Times New Roman"/>
        </w:rPr>
        <w:t>de 2019, 131º</w:t>
      </w:r>
      <w:r w:rsidRPr="009A5438">
        <w:rPr>
          <w:rFonts w:eastAsia="Times New Roman"/>
        </w:rPr>
        <w:t xml:space="preserve"> da República. </w:t>
      </w:r>
    </w:p>
    <w:p w:rsidR="00410C16" w:rsidRPr="009A5438" w:rsidRDefault="00E411B4" w:rsidP="009A5438">
      <w:pPr>
        <w:jc w:val="both"/>
        <w:rPr>
          <w:rFonts w:eastAsia="Times New Roman"/>
        </w:rPr>
      </w:pPr>
      <w:r w:rsidRPr="009A5438">
        <w:rPr>
          <w:rFonts w:eastAsia="Times New Roman"/>
        </w:rPr>
        <w:br/>
      </w:r>
    </w:p>
    <w:p w:rsidR="00CF40FF" w:rsidRPr="009A5438" w:rsidRDefault="00E411B4" w:rsidP="009A5438">
      <w:pPr>
        <w:jc w:val="center"/>
        <w:rPr>
          <w:rFonts w:eastAsia="Times New Roman"/>
        </w:rPr>
      </w:pPr>
      <w:r w:rsidRPr="009A5438">
        <w:rPr>
          <w:rFonts w:eastAsia="Times New Roman"/>
        </w:rPr>
        <w:br/>
      </w:r>
      <w:r w:rsidRPr="009A5438">
        <w:rPr>
          <w:rFonts w:eastAsia="Times New Roman"/>
          <w:b/>
          <w:bCs/>
        </w:rPr>
        <w:t>MARCOS JOSÉ ROCHA DOS SANTOS</w:t>
      </w:r>
      <w:r w:rsidRPr="009A5438">
        <w:rPr>
          <w:rFonts w:eastAsia="Times New Roman"/>
        </w:rPr>
        <w:br/>
        <w:t>Governador</w:t>
      </w:r>
      <w:r w:rsidRPr="009A5438">
        <w:rPr>
          <w:rFonts w:eastAsia="Times New Roman"/>
        </w:rPr>
        <w:br/>
      </w:r>
      <w:r w:rsidRPr="009A5438">
        <w:rPr>
          <w:rFonts w:eastAsia="Times New Roman"/>
        </w:rPr>
        <w:br/>
      </w:r>
      <w:r w:rsidRPr="009A5438">
        <w:rPr>
          <w:rFonts w:eastAsia="Times New Roman"/>
        </w:rPr>
        <w:br/>
      </w:r>
      <w:r w:rsidRPr="009A5438">
        <w:rPr>
          <w:rFonts w:eastAsia="Times New Roman"/>
          <w:b/>
          <w:bCs/>
        </w:rPr>
        <w:t>PEDRO ANTONIO AFONSO PIMENTEL</w:t>
      </w:r>
      <w:r w:rsidRPr="009A5438">
        <w:rPr>
          <w:rFonts w:eastAsia="Times New Roman"/>
        </w:rPr>
        <w:br/>
        <w:t xml:space="preserve">Secretário de </w:t>
      </w:r>
      <w:r w:rsidR="00892619" w:rsidRPr="009A5438">
        <w:rPr>
          <w:rFonts w:eastAsia="Times New Roman"/>
        </w:rPr>
        <w:t xml:space="preserve">Estado do </w:t>
      </w:r>
      <w:r w:rsidRPr="009A5438">
        <w:rPr>
          <w:rFonts w:eastAsia="Times New Roman"/>
        </w:rPr>
        <w:t>Planej</w:t>
      </w:r>
      <w:r w:rsidR="006C5D2E" w:rsidRPr="009A5438">
        <w:rPr>
          <w:rFonts w:eastAsia="Times New Roman"/>
        </w:rPr>
        <w:t xml:space="preserve">amento, </w:t>
      </w:r>
      <w:r w:rsidRPr="009A5438">
        <w:rPr>
          <w:rFonts w:eastAsia="Times New Roman"/>
        </w:rPr>
        <w:t>Orçamento e Gestão</w:t>
      </w:r>
    </w:p>
    <w:p w:rsidR="00CF40FF" w:rsidRPr="009A5438" w:rsidRDefault="00CF40FF" w:rsidP="009A5438">
      <w:pPr>
        <w:jc w:val="center"/>
        <w:rPr>
          <w:rFonts w:eastAsia="Times New Roman"/>
        </w:rPr>
      </w:pPr>
    </w:p>
    <w:p w:rsidR="002537F7" w:rsidRDefault="002537F7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A95C94" w:rsidRDefault="00E411B4" w:rsidP="00A95C94">
      <w:pPr>
        <w:jc w:val="center"/>
        <w:rPr>
          <w:b/>
          <w:bCs/>
          <w:sz w:val="16"/>
          <w:szCs w:val="16"/>
        </w:rPr>
      </w:pPr>
      <w:r w:rsidRPr="00CF1394">
        <w:rPr>
          <w:rFonts w:eastAsia="Times New Roman"/>
          <w:b/>
          <w:bCs/>
        </w:rPr>
        <w:lastRenderedPageBreak/>
        <w:t>ANEXO I</w:t>
      </w:r>
      <w:r w:rsidR="00A95C94" w:rsidRPr="00A95C94">
        <w:rPr>
          <w:b/>
          <w:bCs/>
          <w:sz w:val="16"/>
          <w:szCs w:val="16"/>
        </w:rPr>
        <w:t xml:space="preserve"> </w:t>
      </w:r>
    </w:p>
    <w:p w:rsidR="009D7FB4" w:rsidRDefault="009D7FB4" w:rsidP="00A95C94">
      <w:pPr>
        <w:jc w:val="center"/>
        <w:rPr>
          <w:sz w:val="16"/>
          <w:szCs w:val="16"/>
        </w:rPr>
      </w:pPr>
    </w:p>
    <w:p w:rsidR="009A5438" w:rsidRDefault="009A5438" w:rsidP="009A5438">
      <w:pPr>
        <w:jc w:val="both"/>
      </w:pPr>
    </w:p>
    <w:p w:rsidR="009A5438" w:rsidRDefault="009A5438" w:rsidP="009A5438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</w:t>
      </w:r>
      <w:r w:rsidR="009D7FB4">
        <w:rPr>
          <w:b/>
          <w:bCs/>
          <w:sz w:val="18"/>
          <w:szCs w:val="18"/>
        </w:rPr>
        <w:t>A</w:t>
      </w:r>
      <w:r>
        <w:rPr>
          <w:b/>
          <w:bCs/>
          <w:sz w:val="18"/>
          <w:szCs w:val="18"/>
        </w:rPr>
        <w:t xml:space="preserve">VIT FINANCEIRO                                                                                          SUPLEMENTA </w:t>
      </w:r>
    </w:p>
    <w:tbl>
      <w:tblPr>
        <w:tblW w:w="1035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9A5438" w:rsidTr="009A5438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38" w:rsidRDefault="009A5438" w:rsidP="00651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38" w:rsidRDefault="009A5438" w:rsidP="00651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38" w:rsidRDefault="009A5438" w:rsidP="00651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38" w:rsidRDefault="009A5438" w:rsidP="00651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438" w:rsidRDefault="009A5438" w:rsidP="006516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9A5438" w:rsidRDefault="009A5438" w:rsidP="009A5438">
      <w:pPr>
        <w:jc w:val="both"/>
        <w:rPr>
          <w:vanish/>
        </w:rPr>
      </w:pPr>
    </w:p>
    <w:tbl>
      <w:tblPr>
        <w:tblW w:w="103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ESPECIAL DA DEFENSORIA PÚBLICA DO ESTADO DE RONDÔNIA - FUNDEP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9.363.362,58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30.011.03.122.2046.2182</w:t>
            </w: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 ADMINISTRAÇÃO DA DEFENSORIA PÚBLICA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339014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339032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339033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339039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339093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339139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449052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30.011.03.126.2046.1096</w:t>
            </w: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MODERNIZAR AS UNIDADES FÍSICAS DA DEFENSORIA PÚBLICA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339030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339040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449040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449052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30.011.03.128.2046.2108</w:t>
            </w: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CAPACITAR DE FORMA CONTINUADA OS MEMBROS, OS SERVIDORES E OS ESTAGIÁRIOS DA DEFENSORIA PÚBLICA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339014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40.362,58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339039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339093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30.011.03.422.2046.1026</w:t>
            </w: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APARELHAR AS UNIDADES DA DEFENSORIA PÚBLICA DO ESTADO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449052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30.011.03.422.2046.1098</w:t>
            </w: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CONSTRUIR, AMPLIAR E REFORMAR UNIDADES FÍSICAS DA DEFENSORIA PÚBLICA</w:t>
            </w: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339039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500.000,00</w:t>
            </w:r>
          </w:p>
        </w:tc>
      </w:tr>
      <w:tr w:rsidR="009A5438" w:rsidTr="009A5438">
        <w:trPr>
          <w:tblCellSpacing w:w="0" w:type="dxa"/>
        </w:trPr>
        <w:tc>
          <w:tcPr>
            <w:tcW w:w="2563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4241" w:type="dxa"/>
            <w:vAlign w:val="center"/>
            <w:hideMark/>
          </w:tcPr>
          <w:p w:rsidR="009A5438" w:rsidRDefault="009A5438" w:rsidP="0065162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449051</w:t>
            </w:r>
          </w:p>
        </w:tc>
        <w:tc>
          <w:tcPr>
            <w:tcW w:w="884" w:type="dxa"/>
            <w:vAlign w:val="center"/>
            <w:hideMark/>
          </w:tcPr>
          <w:p w:rsidR="009A5438" w:rsidRDefault="009A5438" w:rsidP="006516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</w:t>
            </w:r>
          </w:p>
        </w:tc>
        <w:tc>
          <w:tcPr>
            <w:tcW w:w="1602" w:type="dxa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1.000.000,00</w:t>
            </w:r>
          </w:p>
        </w:tc>
      </w:tr>
      <w:tr w:rsidR="009A5438" w:rsidTr="009A5438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9A5438" w:rsidRDefault="009A5438" w:rsidP="006516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9A5438" w:rsidRDefault="009A5438" w:rsidP="006516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R$ 9.363.362,58</w:t>
            </w:r>
          </w:p>
        </w:tc>
      </w:tr>
    </w:tbl>
    <w:p w:rsidR="009A5438" w:rsidRDefault="009A5438" w:rsidP="009A5438"/>
    <w:p w:rsidR="0049540D" w:rsidRDefault="0049540D" w:rsidP="009A5438">
      <w:pPr>
        <w:jc w:val="both"/>
      </w:pPr>
    </w:p>
    <w:sectPr w:rsidR="0049540D" w:rsidSect="009559BE">
      <w:headerReference w:type="default" r:id="rId6"/>
      <w:footerReference w:type="default" r:id="rId7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2F" w:rsidRDefault="004A072F" w:rsidP="004A072F">
      <w:r>
        <w:separator/>
      </w:r>
    </w:p>
  </w:endnote>
  <w:endnote w:type="continuationSeparator" w:id="0">
    <w:p w:rsidR="004A072F" w:rsidRDefault="004A072F" w:rsidP="004A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2327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540D" w:rsidRPr="0049540D" w:rsidRDefault="0049540D">
        <w:pPr>
          <w:pStyle w:val="Rodap"/>
          <w:jc w:val="right"/>
          <w:rPr>
            <w:sz w:val="20"/>
            <w:szCs w:val="20"/>
          </w:rPr>
        </w:pPr>
        <w:r w:rsidRPr="0049540D">
          <w:rPr>
            <w:sz w:val="20"/>
            <w:szCs w:val="20"/>
          </w:rPr>
          <w:fldChar w:fldCharType="begin"/>
        </w:r>
        <w:r w:rsidRPr="0049540D">
          <w:rPr>
            <w:sz w:val="20"/>
            <w:szCs w:val="20"/>
          </w:rPr>
          <w:instrText>PAGE   \* MERGEFORMAT</w:instrText>
        </w:r>
        <w:r w:rsidRPr="0049540D">
          <w:rPr>
            <w:sz w:val="20"/>
            <w:szCs w:val="20"/>
          </w:rPr>
          <w:fldChar w:fldCharType="separate"/>
        </w:r>
        <w:r w:rsidR="00EA646D">
          <w:rPr>
            <w:noProof/>
            <w:sz w:val="20"/>
            <w:szCs w:val="20"/>
          </w:rPr>
          <w:t>2</w:t>
        </w:r>
        <w:r w:rsidRPr="0049540D">
          <w:rPr>
            <w:sz w:val="20"/>
            <w:szCs w:val="20"/>
          </w:rPr>
          <w:fldChar w:fldCharType="end"/>
        </w:r>
      </w:p>
    </w:sdtContent>
  </w:sdt>
  <w:p w:rsidR="0049540D" w:rsidRDefault="004954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2F" w:rsidRDefault="004A072F" w:rsidP="004A072F">
      <w:r>
        <w:separator/>
      </w:r>
    </w:p>
  </w:footnote>
  <w:footnote w:type="continuationSeparator" w:id="0">
    <w:p w:rsidR="004A072F" w:rsidRDefault="004A072F" w:rsidP="004A0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0FF" w:rsidRDefault="00EA646D" w:rsidP="00CF40FF">
    <w:pPr>
      <w:tabs>
        <w:tab w:val="center" w:pos="4419"/>
        <w:tab w:val="right" w:pos="8838"/>
        <w:tab w:val="left" w:pos="9781"/>
      </w:tabs>
      <w:ind w:right="-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65.25pt" fillcolor="window">
          <v:imagedata r:id="rId1" o:title=""/>
        </v:shape>
      </w:pict>
    </w:r>
  </w:p>
  <w:p w:rsidR="00CF40FF" w:rsidRDefault="00CF40FF" w:rsidP="00CF40FF">
    <w:pPr>
      <w:tabs>
        <w:tab w:val="center" w:pos="4419"/>
        <w:tab w:val="right" w:pos="8838"/>
      </w:tabs>
      <w:ind w:right="-1"/>
      <w:jc w:val="center"/>
      <w:rPr>
        <w:b/>
      </w:rPr>
    </w:pPr>
    <w:r w:rsidRPr="007F6782">
      <w:rPr>
        <w:b/>
      </w:rPr>
      <w:t>GOVERNO DO ESTADO DE RONDÔNIA</w:t>
    </w:r>
  </w:p>
  <w:p w:rsidR="004A072F" w:rsidRDefault="0049540D" w:rsidP="0049540D">
    <w:pPr>
      <w:tabs>
        <w:tab w:val="center" w:pos="4419"/>
        <w:tab w:val="right" w:pos="8838"/>
      </w:tabs>
      <w:jc w:val="center"/>
      <w:rPr>
        <w:b/>
      </w:rPr>
    </w:pPr>
    <w:r>
      <w:rPr>
        <w:b/>
      </w:rPr>
      <w:t>GOVERNADORIA</w:t>
    </w:r>
  </w:p>
  <w:p w:rsidR="0049540D" w:rsidRPr="0049540D" w:rsidRDefault="0049540D" w:rsidP="0049540D">
    <w:pPr>
      <w:tabs>
        <w:tab w:val="center" w:pos="4419"/>
        <w:tab w:val="right" w:pos="8838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F"/>
    <w:rsid w:val="0000016D"/>
    <w:rsid w:val="000053B3"/>
    <w:rsid w:val="000B6B42"/>
    <w:rsid w:val="001737FE"/>
    <w:rsid w:val="00236C6A"/>
    <w:rsid w:val="002537F7"/>
    <w:rsid w:val="00294942"/>
    <w:rsid w:val="00410C16"/>
    <w:rsid w:val="0049540D"/>
    <w:rsid w:val="004A072F"/>
    <w:rsid w:val="00643F83"/>
    <w:rsid w:val="006C5D2E"/>
    <w:rsid w:val="007B1FF1"/>
    <w:rsid w:val="00892619"/>
    <w:rsid w:val="008E0DBC"/>
    <w:rsid w:val="0092096B"/>
    <w:rsid w:val="009559BE"/>
    <w:rsid w:val="009A5438"/>
    <w:rsid w:val="009B05FB"/>
    <w:rsid w:val="009D7FB4"/>
    <w:rsid w:val="00A71C96"/>
    <w:rsid w:val="00A95C94"/>
    <w:rsid w:val="00B40252"/>
    <w:rsid w:val="00C764A9"/>
    <w:rsid w:val="00CF1394"/>
    <w:rsid w:val="00CF40FF"/>
    <w:rsid w:val="00D405D2"/>
    <w:rsid w:val="00D56C90"/>
    <w:rsid w:val="00E411B4"/>
    <w:rsid w:val="00E918C7"/>
    <w:rsid w:val="00E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1D0B87F0-1974-47A9-93D5-56D919A6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C16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C1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4A07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072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A07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072F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7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72F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56C90"/>
    <w:rPr>
      <w:b/>
      <w:bCs/>
    </w:rPr>
  </w:style>
  <w:style w:type="paragraph" w:styleId="PargrafodaLista">
    <w:name w:val="List Paragraph"/>
    <w:basedOn w:val="Normal"/>
    <w:uiPriority w:val="34"/>
    <w:qFormat/>
    <w:rsid w:val="00D56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0890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089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42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98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06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13">
      <w:marLeft w:val="4479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096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50">
      <w:marLeft w:val="-675"/>
      <w:marRight w:val="-106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47907320291</dc:creator>
  <cp:lastModifiedBy>Maria Auxiliadora dos Santos</cp:lastModifiedBy>
  <cp:revision>5</cp:revision>
  <cp:lastPrinted>2019-06-07T16:02:00Z</cp:lastPrinted>
  <dcterms:created xsi:type="dcterms:W3CDTF">2019-06-07T15:59:00Z</dcterms:created>
  <dcterms:modified xsi:type="dcterms:W3CDTF">2019-06-13T12:23:00Z</dcterms:modified>
</cp:coreProperties>
</file>