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0" w:rsidRPr="000236C0" w:rsidRDefault="000236C0" w:rsidP="0002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236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DECRETO</w:t>
      </w:r>
      <w:r w:rsidR="001C30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N. 22.698,</w:t>
      </w:r>
      <w:r w:rsidRPr="000236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C30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23 </w:t>
      </w:r>
      <w:r w:rsidRPr="000236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MARÇO DE 2018.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BA3C6B" w:rsidRDefault="004B29F3" w:rsidP="000236C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3C6B">
        <w:rPr>
          <w:rFonts w:ascii="Times New Roman" w:hAnsi="Times New Roman" w:cs="Times New Roman"/>
          <w:sz w:val="24"/>
          <w:szCs w:val="24"/>
        </w:rPr>
        <w:t>Dispõe sobre a desvinculação de receitas de taxas de que trata o art</w:t>
      </w:r>
      <w:r w:rsidR="00BA3C6B" w:rsidRPr="00BA3C6B">
        <w:rPr>
          <w:rFonts w:ascii="Times New Roman" w:hAnsi="Times New Roman" w:cs="Times New Roman"/>
          <w:sz w:val="24"/>
          <w:szCs w:val="24"/>
        </w:rPr>
        <w:t>igo</w:t>
      </w:r>
      <w:r w:rsidRPr="00BA3C6B">
        <w:rPr>
          <w:rFonts w:ascii="Times New Roman" w:hAnsi="Times New Roman" w:cs="Times New Roman"/>
          <w:sz w:val="24"/>
          <w:szCs w:val="24"/>
        </w:rPr>
        <w:t xml:space="preserve"> 76-A do</w:t>
      </w:r>
      <w:r w:rsidR="00BA3C6B" w:rsidRPr="00BA3C6B">
        <w:rPr>
          <w:rFonts w:ascii="Times New Roman" w:hAnsi="Times New Roman" w:cs="Times New Roman"/>
          <w:sz w:val="24"/>
          <w:szCs w:val="24"/>
        </w:rPr>
        <w:t xml:space="preserve"> </w:t>
      </w:r>
      <w:r w:rsidR="00BA3C6B" w:rsidRPr="00BA3C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Ato </w:t>
      </w:r>
      <w:r w:rsidR="00BA3C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="00BA3C6B" w:rsidRPr="00BA3C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as Disposições Constitucionais Transitórias </w:t>
      </w:r>
      <w:r w:rsidR="00BA3C6B" w:rsidRPr="00BA3C6B">
        <w:rPr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  <w:t xml:space="preserve">- </w:t>
      </w:r>
      <w:r w:rsidRPr="00BA3C6B">
        <w:rPr>
          <w:rFonts w:ascii="Times New Roman" w:hAnsi="Times New Roman" w:cs="Times New Roman"/>
          <w:sz w:val="24"/>
          <w:szCs w:val="24"/>
        </w:rPr>
        <w:t xml:space="preserve">ADCT da Constituição Federal.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BA3C6B">
        <w:rPr>
          <w:rFonts w:ascii="Times New Roman" w:hAnsi="Times New Roman" w:cs="Times New Roman"/>
          <w:sz w:val="24"/>
          <w:szCs w:val="24"/>
        </w:rPr>
        <w:t>ribuições que lhe confere o artigo</w:t>
      </w:r>
      <w:r w:rsidRPr="000236C0">
        <w:rPr>
          <w:rFonts w:ascii="Times New Roman" w:hAnsi="Times New Roman" w:cs="Times New Roman"/>
          <w:sz w:val="24"/>
          <w:szCs w:val="24"/>
        </w:rPr>
        <w:t xml:space="preserve"> 65, incisos V e VII da Constituição Estadual, e </w:t>
      </w:r>
      <w:r w:rsidR="00BA3C6B">
        <w:rPr>
          <w:rFonts w:ascii="Times New Roman" w:hAnsi="Times New Roman" w:cs="Times New Roman"/>
          <w:sz w:val="24"/>
          <w:szCs w:val="24"/>
        </w:rPr>
        <w:t>c</w:t>
      </w:r>
      <w:r w:rsidRPr="000236C0">
        <w:rPr>
          <w:rFonts w:ascii="Times New Roman" w:hAnsi="Times New Roman" w:cs="Times New Roman"/>
          <w:sz w:val="24"/>
          <w:szCs w:val="24"/>
        </w:rPr>
        <w:t>onsiderando que a Emenda Constitucional</w:t>
      </w:r>
      <w:r w:rsidR="00BA3C6B">
        <w:rPr>
          <w:rFonts w:ascii="Times New Roman" w:hAnsi="Times New Roman" w:cs="Times New Roman"/>
          <w:sz w:val="24"/>
          <w:szCs w:val="24"/>
        </w:rPr>
        <w:t xml:space="preserve"> Federal</w:t>
      </w:r>
      <w:r w:rsidRPr="000236C0">
        <w:rPr>
          <w:rFonts w:ascii="Times New Roman" w:hAnsi="Times New Roman" w:cs="Times New Roman"/>
          <w:sz w:val="24"/>
          <w:szCs w:val="24"/>
        </w:rPr>
        <w:t xml:space="preserve"> nº 93, de 8 de setembro de 2016, desvincula de </w:t>
      </w:r>
      <w:r w:rsidR="00B044BD" w:rsidRPr="000236C0">
        <w:rPr>
          <w:rFonts w:ascii="Times New Roman" w:hAnsi="Times New Roman" w:cs="Times New Roman"/>
          <w:sz w:val="24"/>
          <w:szCs w:val="24"/>
        </w:rPr>
        <w:t xml:space="preserve">Órgãos, Fundo </w:t>
      </w:r>
      <w:r w:rsidR="00B044BD">
        <w:rPr>
          <w:rFonts w:ascii="Times New Roman" w:hAnsi="Times New Roman" w:cs="Times New Roman"/>
          <w:sz w:val="24"/>
          <w:szCs w:val="24"/>
        </w:rPr>
        <w:t>o</w:t>
      </w:r>
      <w:r w:rsidR="00B044BD" w:rsidRPr="000236C0">
        <w:rPr>
          <w:rFonts w:ascii="Times New Roman" w:hAnsi="Times New Roman" w:cs="Times New Roman"/>
          <w:sz w:val="24"/>
          <w:szCs w:val="24"/>
        </w:rPr>
        <w:t>u Despesa</w:t>
      </w:r>
      <w:r w:rsidRPr="000236C0">
        <w:rPr>
          <w:rFonts w:ascii="Times New Roman" w:hAnsi="Times New Roman" w:cs="Times New Roman"/>
          <w:sz w:val="24"/>
          <w:szCs w:val="24"/>
        </w:rPr>
        <w:t xml:space="preserve">, até 31 de dezembro de 2023, 30% (trinta por cento) das receitas dos Estados relativas </w:t>
      </w:r>
      <w:r w:rsidR="00B044BD">
        <w:rPr>
          <w:rFonts w:ascii="Times New Roman" w:hAnsi="Times New Roman" w:cs="Times New Roman"/>
          <w:sz w:val="24"/>
          <w:szCs w:val="24"/>
        </w:rPr>
        <w:t>a</w:t>
      </w:r>
      <w:r w:rsidRPr="000236C0">
        <w:rPr>
          <w:rFonts w:ascii="Times New Roman" w:hAnsi="Times New Roman" w:cs="Times New Roman"/>
          <w:sz w:val="24"/>
          <w:szCs w:val="24"/>
        </w:rPr>
        <w:t xml:space="preserve"> impostos, taxas e multas, instituídos ou </w:t>
      </w:r>
      <w:r w:rsidR="00BA3C6B">
        <w:rPr>
          <w:rFonts w:ascii="Times New Roman" w:hAnsi="Times New Roman" w:cs="Times New Roman"/>
          <w:sz w:val="24"/>
          <w:szCs w:val="24"/>
        </w:rPr>
        <w:t xml:space="preserve">os </w:t>
      </w:r>
      <w:r w:rsidRPr="000236C0">
        <w:rPr>
          <w:rFonts w:ascii="Times New Roman" w:hAnsi="Times New Roman" w:cs="Times New Roman"/>
          <w:sz w:val="24"/>
          <w:szCs w:val="24"/>
        </w:rPr>
        <w:t>que vierem a ser criados até a referida data, seus adicionais e respectivos acréscimos legais e outras receitas correntes, excetuando-se os recursos elencados nos incisos I a III do parágrafo único do artigo 76-A do</w:t>
      </w:r>
      <w:r w:rsidR="00BA3C6B">
        <w:rPr>
          <w:rFonts w:ascii="Times New Roman" w:hAnsi="Times New Roman" w:cs="Times New Roman"/>
          <w:sz w:val="24"/>
          <w:szCs w:val="24"/>
        </w:rPr>
        <w:t xml:space="preserve"> Ato das Disposições Constitucionais Transitórias -</w:t>
      </w:r>
      <w:r w:rsidRPr="000236C0">
        <w:rPr>
          <w:rFonts w:ascii="Times New Roman" w:hAnsi="Times New Roman" w:cs="Times New Roman"/>
          <w:sz w:val="24"/>
          <w:szCs w:val="24"/>
        </w:rPr>
        <w:t xml:space="preserve"> ADCT da Constituição Federal</w:t>
      </w:r>
      <w:r w:rsidR="00BA3C6B">
        <w:rPr>
          <w:rFonts w:ascii="Times New Roman" w:hAnsi="Times New Roman" w:cs="Times New Roman"/>
          <w:sz w:val="24"/>
          <w:szCs w:val="24"/>
        </w:rPr>
        <w:t>,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236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6A4E21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Fica desvinculado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 do Departamento Estadual de Trânsito de Rondônia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 DETRAN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 no exercício de 2018, o correspondente a 20% (vinte por cento) das receitas de suas taxas próprias, efetivamente arrecadadas neste ano.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Parágrafo único. Os valores das receitas desvinculadas serão classificados na FONTE “0148” como </w:t>
      </w:r>
      <w:r w:rsidR="000236C0">
        <w:rPr>
          <w:rFonts w:ascii="Times New Roman" w:hAnsi="Times New Roman" w:cs="Times New Roman"/>
          <w:sz w:val="24"/>
          <w:szCs w:val="24"/>
        </w:rPr>
        <w:t>“</w:t>
      </w:r>
      <w:r w:rsidRPr="000236C0">
        <w:rPr>
          <w:rFonts w:ascii="Times New Roman" w:hAnsi="Times New Roman" w:cs="Times New Roman"/>
          <w:sz w:val="24"/>
          <w:szCs w:val="24"/>
        </w:rPr>
        <w:t>Recursos de Desvinculação das Receitas - EC N. 93/2016</w:t>
      </w:r>
      <w:r w:rsidR="000236C0">
        <w:rPr>
          <w:rFonts w:ascii="Times New Roman" w:hAnsi="Times New Roman" w:cs="Times New Roman"/>
          <w:sz w:val="24"/>
          <w:szCs w:val="24"/>
        </w:rPr>
        <w:t>”</w:t>
      </w:r>
      <w:r w:rsidRPr="00023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Art. 2º</w:t>
      </w:r>
      <w:r w:rsidR="000236C0">
        <w:rPr>
          <w:rFonts w:ascii="Times New Roman" w:hAnsi="Times New Roman" w:cs="Times New Roman"/>
          <w:sz w:val="24"/>
          <w:szCs w:val="24"/>
        </w:rPr>
        <w:t>.</w:t>
      </w:r>
      <w:r w:rsidRPr="000236C0">
        <w:rPr>
          <w:rFonts w:ascii="Times New Roman" w:hAnsi="Times New Roman" w:cs="Times New Roman"/>
          <w:sz w:val="24"/>
          <w:szCs w:val="24"/>
        </w:rPr>
        <w:t xml:space="preserve"> Da parce</w:t>
      </w:r>
      <w:r w:rsidR="006A4E21">
        <w:rPr>
          <w:rFonts w:ascii="Times New Roman" w:hAnsi="Times New Roman" w:cs="Times New Roman"/>
          <w:sz w:val="24"/>
          <w:szCs w:val="24"/>
        </w:rPr>
        <w:t xml:space="preserve">la das receitas </w:t>
      </w:r>
      <w:r w:rsidR="00B044BD">
        <w:rPr>
          <w:rFonts w:ascii="Times New Roman" w:hAnsi="Times New Roman" w:cs="Times New Roman"/>
          <w:sz w:val="24"/>
          <w:szCs w:val="24"/>
        </w:rPr>
        <w:t xml:space="preserve">de </w:t>
      </w:r>
      <w:r w:rsidR="006A4E21">
        <w:rPr>
          <w:rFonts w:ascii="Times New Roman" w:hAnsi="Times New Roman" w:cs="Times New Roman"/>
          <w:sz w:val="24"/>
          <w:szCs w:val="24"/>
        </w:rPr>
        <w:t>que trata o artigo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  <w:r w:rsidR="006A4E21">
        <w:rPr>
          <w:rFonts w:ascii="Times New Roman" w:hAnsi="Times New Roman" w:cs="Times New Roman"/>
          <w:sz w:val="24"/>
          <w:szCs w:val="24"/>
        </w:rPr>
        <w:t>anterior,</w:t>
      </w:r>
      <w:r w:rsidRPr="000236C0">
        <w:rPr>
          <w:rFonts w:ascii="Times New Roman" w:hAnsi="Times New Roman" w:cs="Times New Roman"/>
          <w:sz w:val="24"/>
          <w:szCs w:val="24"/>
        </w:rPr>
        <w:t xml:space="preserve"> 20%</w:t>
      </w:r>
      <w:r w:rsidR="00B044BD">
        <w:rPr>
          <w:rFonts w:ascii="Times New Roman" w:hAnsi="Times New Roman" w:cs="Times New Roman"/>
          <w:sz w:val="24"/>
          <w:szCs w:val="24"/>
        </w:rPr>
        <w:t xml:space="preserve"> (vinte por cento)</w:t>
      </w:r>
      <w:r w:rsidRPr="000236C0">
        <w:rPr>
          <w:rFonts w:ascii="Times New Roman" w:hAnsi="Times New Roman" w:cs="Times New Roman"/>
          <w:sz w:val="24"/>
          <w:szCs w:val="24"/>
        </w:rPr>
        <w:t xml:space="preserve"> da arrecadação mensal das taxas do DETRAN deverá ser transferido para conta específica do Tesouro Estadual até o dia 10 do mês subsequente ao da arrecadação.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§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</w:rPr>
        <w:t xml:space="preserve">1º. Considerar-se-á o mês de janeiro de 2018 como mês-base para </w:t>
      </w:r>
      <w:r w:rsidR="006A4E21">
        <w:rPr>
          <w:rFonts w:ascii="Times New Roman" w:hAnsi="Times New Roman" w:cs="Times New Roman"/>
          <w:sz w:val="24"/>
          <w:szCs w:val="24"/>
        </w:rPr>
        <w:t xml:space="preserve">o </w:t>
      </w:r>
      <w:r w:rsidRPr="000236C0">
        <w:rPr>
          <w:rFonts w:ascii="Times New Roman" w:hAnsi="Times New Roman" w:cs="Times New Roman"/>
          <w:sz w:val="24"/>
          <w:szCs w:val="24"/>
        </w:rPr>
        <w:t xml:space="preserve">início do cômputo das transferências.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§</w:t>
      </w:r>
      <w:r w:rsidR="000236C0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</w:rPr>
        <w:t>2º. Excepcionalmente, no mês de dezembro de 2018</w:t>
      </w:r>
      <w:r w:rsidR="006A4E21">
        <w:rPr>
          <w:rFonts w:ascii="Times New Roman" w:hAnsi="Times New Roman" w:cs="Times New Roman"/>
          <w:sz w:val="24"/>
          <w:szCs w:val="24"/>
        </w:rPr>
        <w:t>,</w:t>
      </w:r>
      <w:r w:rsidRPr="000236C0">
        <w:rPr>
          <w:rFonts w:ascii="Times New Roman" w:hAnsi="Times New Roman" w:cs="Times New Roman"/>
          <w:sz w:val="24"/>
          <w:szCs w:val="24"/>
        </w:rPr>
        <w:t xml:space="preserve"> o DETRAN deverá realizar</w:t>
      </w:r>
      <w:r w:rsidR="006A4E21">
        <w:rPr>
          <w:rFonts w:ascii="Times New Roman" w:hAnsi="Times New Roman" w:cs="Times New Roman"/>
          <w:sz w:val="24"/>
          <w:szCs w:val="24"/>
        </w:rPr>
        <w:t xml:space="preserve"> 2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  <w:r w:rsidR="006A4E21">
        <w:rPr>
          <w:rFonts w:ascii="Times New Roman" w:hAnsi="Times New Roman" w:cs="Times New Roman"/>
          <w:sz w:val="24"/>
          <w:szCs w:val="24"/>
        </w:rPr>
        <w:t>(</w:t>
      </w:r>
      <w:r w:rsidRPr="000236C0">
        <w:rPr>
          <w:rFonts w:ascii="Times New Roman" w:hAnsi="Times New Roman" w:cs="Times New Roman"/>
          <w:sz w:val="24"/>
          <w:szCs w:val="24"/>
        </w:rPr>
        <w:t>duas</w:t>
      </w:r>
      <w:r w:rsidR="006A4E21">
        <w:rPr>
          <w:rFonts w:ascii="Times New Roman" w:hAnsi="Times New Roman" w:cs="Times New Roman"/>
          <w:sz w:val="24"/>
          <w:szCs w:val="24"/>
        </w:rPr>
        <w:t>)</w:t>
      </w:r>
      <w:r w:rsidRPr="000236C0">
        <w:rPr>
          <w:rFonts w:ascii="Times New Roman" w:hAnsi="Times New Roman" w:cs="Times New Roman"/>
          <w:sz w:val="24"/>
          <w:szCs w:val="24"/>
        </w:rPr>
        <w:t xml:space="preserve"> transferências, sendo</w:t>
      </w:r>
      <w:r w:rsidR="006A4E21">
        <w:rPr>
          <w:rFonts w:ascii="Times New Roman" w:hAnsi="Times New Roman" w:cs="Times New Roman"/>
          <w:sz w:val="24"/>
          <w:szCs w:val="24"/>
        </w:rPr>
        <w:t>:</w:t>
      </w:r>
      <w:r w:rsidRPr="000236C0">
        <w:rPr>
          <w:rFonts w:ascii="Times New Roman" w:hAnsi="Times New Roman" w:cs="Times New Roman"/>
          <w:sz w:val="24"/>
          <w:szCs w:val="24"/>
        </w:rPr>
        <w:t xml:space="preserve"> a primeira</w:t>
      </w:r>
      <w:r w:rsidR="00B044BD">
        <w:rPr>
          <w:rFonts w:ascii="Times New Roman" w:hAnsi="Times New Roman" w:cs="Times New Roman"/>
          <w:sz w:val="24"/>
          <w:szCs w:val="24"/>
        </w:rPr>
        <w:t>,</w:t>
      </w:r>
      <w:r w:rsidRPr="000236C0">
        <w:rPr>
          <w:rFonts w:ascii="Times New Roman" w:hAnsi="Times New Roman" w:cs="Times New Roman"/>
          <w:sz w:val="24"/>
          <w:szCs w:val="24"/>
        </w:rPr>
        <w:t xml:space="preserve"> no dia 10, referente </w:t>
      </w:r>
      <w:r w:rsidR="006A4E21">
        <w:rPr>
          <w:rFonts w:ascii="Times New Roman" w:hAnsi="Times New Roman" w:cs="Times New Roman"/>
          <w:sz w:val="24"/>
          <w:szCs w:val="24"/>
        </w:rPr>
        <w:t>à</w:t>
      </w:r>
      <w:r w:rsidRPr="000236C0">
        <w:rPr>
          <w:rFonts w:ascii="Times New Roman" w:hAnsi="Times New Roman" w:cs="Times New Roman"/>
          <w:sz w:val="24"/>
          <w:szCs w:val="24"/>
        </w:rPr>
        <w:t xml:space="preserve"> receita arrecadada do mês de novembro</w:t>
      </w:r>
      <w:r w:rsidR="006A4E21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e a segunda</w:t>
      </w:r>
      <w:r w:rsidR="00B044BD">
        <w:rPr>
          <w:rFonts w:ascii="Times New Roman" w:hAnsi="Times New Roman" w:cs="Times New Roman"/>
          <w:sz w:val="24"/>
          <w:szCs w:val="24"/>
        </w:rPr>
        <w:t>,</w:t>
      </w:r>
      <w:r w:rsidRPr="000236C0">
        <w:rPr>
          <w:rFonts w:ascii="Times New Roman" w:hAnsi="Times New Roman" w:cs="Times New Roman"/>
          <w:sz w:val="24"/>
          <w:szCs w:val="24"/>
        </w:rPr>
        <w:t xml:space="preserve"> no dia 20, relativa à receita estimada do mês de dezembro.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§</w:t>
      </w:r>
      <w:r w:rsidR="00BA3C6B">
        <w:rPr>
          <w:rFonts w:ascii="Times New Roman" w:hAnsi="Times New Roman" w:cs="Times New Roman"/>
          <w:sz w:val="24"/>
          <w:szCs w:val="24"/>
        </w:rPr>
        <w:t xml:space="preserve"> </w:t>
      </w:r>
      <w:r w:rsidR="006A4E21">
        <w:rPr>
          <w:rFonts w:ascii="Times New Roman" w:hAnsi="Times New Roman" w:cs="Times New Roman"/>
          <w:sz w:val="24"/>
          <w:szCs w:val="24"/>
        </w:rPr>
        <w:t>3º. A diferença positiva</w:t>
      </w:r>
      <w:r w:rsidRPr="000236C0">
        <w:rPr>
          <w:rFonts w:ascii="Times New Roman" w:hAnsi="Times New Roman" w:cs="Times New Roman"/>
          <w:sz w:val="24"/>
          <w:szCs w:val="24"/>
        </w:rPr>
        <w:t xml:space="preserve"> entre a receita estimada e a realizada do mês de dezembro de 2018 deverá ser repassada pelo DETRAN ao Tesouro Estadual, impreterivelmente, até o dia 10 de janeiro do exercício de 2019.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§</w:t>
      </w:r>
      <w:r w:rsidR="00BA3C6B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</w:rPr>
        <w:t>4º. O valor transferido a maior ao Tesouro Estadual do confronto entre a receita estimada e a reali</w:t>
      </w:r>
      <w:r w:rsidR="006A4E21">
        <w:rPr>
          <w:rFonts w:ascii="Times New Roman" w:hAnsi="Times New Roman" w:cs="Times New Roman"/>
          <w:sz w:val="24"/>
          <w:szCs w:val="24"/>
        </w:rPr>
        <w:t>zada do mês de dezembro de 2018</w:t>
      </w:r>
      <w:r w:rsidRPr="000236C0">
        <w:rPr>
          <w:rFonts w:ascii="Times New Roman" w:hAnsi="Times New Roman" w:cs="Times New Roman"/>
          <w:sz w:val="24"/>
          <w:szCs w:val="24"/>
        </w:rPr>
        <w:t xml:space="preserve"> será revertido à conta do DETRAN, impreterivelmente, até o dia 10 de janeiro do exercício de 2019.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§</w:t>
      </w:r>
      <w:r w:rsidR="00BA3C6B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</w:rPr>
        <w:t>5º</w:t>
      </w:r>
      <w:r w:rsidR="00B044BD">
        <w:rPr>
          <w:rFonts w:ascii="Times New Roman" w:hAnsi="Times New Roman" w:cs="Times New Roman"/>
          <w:sz w:val="24"/>
          <w:szCs w:val="24"/>
        </w:rPr>
        <w:t>.</w:t>
      </w:r>
      <w:r w:rsidRPr="000236C0">
        <w:rPr>
          <w:rFonts w:ascii="Times New Roman" w:hAnsi="Times New Roman" w:cs="Times New Roman"/>
          <w:sz w:val="24"/>
          <w:szCs w:val="24"/>
        </w:rPr>
        <w:t xml:space="preserve"> Excepcionalmente, a transferência financeira dos montantes relativos ao primeiro</w:t>
      </w:r>
      <w:r w:rsidR="006A4E21">
        <w:rPr>
          <w:rFonts w:ascii="Times New Roman" w:hAnsi="Times New Roman" w:cs="Times New Roman"/>
          <w:sz w:val="24"/>
          <w:szCs w:val="24"/>
        </w:rPr>
        <w:t xml:space="preserve"> trimestre do exercício de 2018</w:t>
      </w:r>
      <w:r w:rsidRPr="000236C0">
        <w:rPr>
          <w:rFonts w:ascii="Times New Roman" w:hAnsi="Times New Roman" w:cs="Times New Roman"/>
          <w:sz w:val="24"/>
          <w:szCs w:val="24"/>
        </w:rPr>
        <w:t xml:space="preserve"> ocorrerá em parcela única até o 10º dia do mês de abril.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BA3C6B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</w:rPr>
        <w:t xml:space="preserve">6º. A conta específica de que trata o caput deste artigo será exclusiva para administração desses recursos no âmbito do Poder Executivo e deverá ser indicada pela Secretaria de Estado de Finanças - SEFIN, órgão responsável pela gestão do recurso.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§</w:t>
      </w:r>
      <w:r w:rsidR="00BA3C6B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</w:rPr>
        <w:t>7º. No cálculo do montante a ser transferido para a conta específica,</w:t>
      </w:r>
      <w:r w:rsidR="006A4E21" w:rsidRPr="006A4E21">
        <w:rPr>
          <w:rFonts w:ascii="Times New Roman" w:hAnsi="Times New Roman" w:cs="Times New Roman"/>
          <w:sz w:val="24"/>
          <w:szCs w:val="24"/>
        </w:rPr>
        <w:t xml:space="preserve"> </w:t>
      </w:r>
      <w:r w:rsidR="006A4E21" w:rsidRPr="000236C0">
        <w:rPr>
          <w:rFonts w:ascii="Times New Roman" w:hAnsi="Times New Roman" w:cs="Times New Roman"/>
          <w:sz w:val="24"/>
          <w:szCs w:val="24"/>
        </w:rPr>
        <w:t>efetuado pela SEFIN e DETRAN</w:t>
      </w:r>
      <w:r w:rsidR="006A4E21">
        <w:rPr>
          <w:rFonts w:ascii="Times New Roman" w:hAnsi="Times New Roman" w:cs="Times New Roman"/>
          <w:sz w:val="24"/>
          <w:szCs w:val="24"/>
        </w:rPr>
        <w:t>,</w:t>
      </w:r>
      <w:r w:rsidRPr="000236C0">
        <w:rPr>
          <w:rFonts w:ascii="Times New Roman" w:hAnsi="Times New Roman" w:cs="Times New Roman"/>
          <w:sz w:val="24"/>
          <w:szCs w:val="24"/>
        </w:rPr>
        <w:t xml:space="preserve"> estão observados os seguintes parâmetros: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B044BD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6A4E21">
        <w:rPr>
          <w:rFonts w:ascii="Times New Roman" w:hAnsi="Times New Roman" w:cs="Times New Roman"/>
          <w:sz w:val="24"/>
          <w:szCs w:val="24"/>
        </w:rPr>
        <w:t>o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 saldo dos restos a pagar e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 retenções de exercícios anteriores, considerando a necessidade de observ</w:t>
      </w:r>
      <w:r w:rsidR="002423CD">
        <w:rPr>
          <w:rFonts w:ascii="Times New Roman" w:hAnsi="Times New Roman" w:cs="Times New Roman"/>
          <w:sz w:val="24"/>
          <w:szCs w:val="24"/>
        </w:rPr>
        <w:t>ar as disposições do artigo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 42 da Lei Complementar Federal nº 101</w:t>
      </w:r>
      <w:r w:rsidR="002423CD">
        <w:rPr>
          <w:rFonts w:ascii="Times New Roman" w:hAnsi="Times New Roman" w:cs="Times New Roman"/>
          <w:sz w:val="24"/>
          <w:szCs w:val="24"/>
        </w:rPr>
        <w:t xml:space="preserve">, de 4 de maio de 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2000; e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B044BD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4B29F3" w:rsidRPr="000236C0">
        <w:rPr>
          <w:rFonts w:ascii="Times New Roman" w:hAnsi="Times New Roman" w:cs="Times New Roman"/>
          <w:sz w:val="24"/>
          <w:szCs w:val="24"/>
        </w:rPr>
        <w:t xml:space="preserve"> </w:t>
      </w:r>
      <w:r w:rsidR="006A4E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supera</w:t>
      </w:r>
      <w:r w:rsidR="004B29F3" w:rsidRPr="000236C0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4B29F3" w:rsidRPr="000236C0">
        <w:rPr>
          <w:rFonts w:ascii="Times New Roman" w:hAnsi="Times New Roman" w:cs="Times New Roman"/>
          <w:sz w:val="24"/>
          <w:szCs w:val="24"/>
        </w:rPr>
        <w:t xml:space="preserve"> financeiro do exercício de 2017 e os cancelamentos de restos a pagar não processados no exercício de 2018.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Art. 3º</w:t>
      </w:r>
      <w:r w:rsidR="002423CD">
        <w:rPr>
          <w:rFonts w:ascii="Times New Roman" w:hAnsi="Times New Roman" w:cs="Times New Roman"/>
          <w:sz w:val="24"/>
          <w:szCs w:val="24"/>
        </w:rPr>
        <w:t>. Da parcela de que trata o artigo 1º deste Decreto,</w:t>
      </w:r>
      <w:r w:rsidRPr="000236C0">
        <w:rPr>
          <w:rFonts w:ascii="Times New Roman" w:hAnsi="Times New Roman" w:cs="Times New Roman"/>
          <w:sz w:val="24"/>
          <w:szCs w:val="24"/>
        </w:rPr>
        <w:t xml:space="preserve"> o saldo remanescente após </w:t>
      </w:r>
      <w:r w:rsidR="002423CD">
        <w:rPr>
          <w:rFonts w:ascii="Times New Roman" w:hAnsi="Times New Roman" w:cs="Times New Roman"/>
          <w:sz w:val="24"/>
          <w:szCs w:val="24"/>
        </w:rPr>
        <w:t xml:space="preserve">a </w:t>
      </w:r>
      <w:r w:rsidRPr="000236C0">
        <w:rPr>
          <w:rFonts w:ascii="Times New Roman" w:hAnsi="Times New Roman" w:cs="Times New Roman"/>
          <w:sz w:val="24"/>
          <w:szCs w:val="24"/>
        </w:rPr>
        <w:t>transferência na forma do art</w:t>
      </w:r>
      <w:r w:rsidR="002423CD">
        <w:rPr>
          <w:rFonts w:ascii="Times New Roman" w:hAnsi="Times New Roman" w:cs="Times New Roman"/>
          <w:sz w:val="24"/>
          <w:szCs w:val="24"/>
        </w:rPr>
        <w:t>igo 2º deste</w:t>
      </w:r>
      <w:r w:rsidR="00B044BD">
        <w:rPr>
          <w:rFonts w:ascii="Times New Roman" w:hAnsi="Times New Roman" w:cs="Times New Roman"/>
          <w:sz w:val="24"/>
          <w:szCs w:val="24"/>
        </w:rPr>
        <w:t>,</w:t>
      </w:r>
      <w:r w:rsidRPr="000236C0">
        <w:rPr>
          <w:rFonts w:ascii="Times New Roman" w:hAnsi="Times New Roman" w:cs="Times New Roman"/>
          <w:sz w:val="24"/>
          <w:szCs w:val="24"/>
        </w:rPr>
        <w:t xml:space="preserve"> poderá ser utilizado pelo DETRAN para suas despesas mediante autorização expressa da SEFIN.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Art. 4º. A</w:t>
      </w:r>
      <w:r w:rsidR="002423CD">
        <w:rPr>
          <w:rFonts w:ascii="Times New Roman" w:hAnsi="Times New Roman" w:cs="Times New Roman"/>
          <w:sz w:val="24"/>
          <w:szCs w:val="24"/>
        </w:rPr>
        <w:t xml:space="preserve"> Secretaria de Estado de Finanças - SEFIN e a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  <w:r w:rsidR="002423CD" w:rsidRPr="002423CD">
        <w:rPr>
          <w:rFonts w:ascii="Times New Roman" w:hAnsi="Times New Roman" w:cs="Times New Roman"/>
          <w:sz w:val="24"/>
          <w:szCs w:val="24"/>
        </w:rPr>
        <w:t>Secretaria de Estado de Planejamento, Orçamento e Gestão - SEPOG</w:t>
      </w:r>
      <w:r w:rsidRPr="000236C0">
        <w:rPr>
          <w:rFonts w:ascii="Times New Roman" w:hAnsi="Times New Roman" w:cs="Times New Roman"/>
          <w:sz w:val="24"/>
          <w:szCs w:val="24"/>
        </w:rPr>
        <w:t xml:space="preserve"> adotarão os procedimentos orçamentários e financeiros</w:t>
      </w:r>
      <w:r w:rsidR="00194B0C">
        <w:rPr>
          <w:rFonts w:ascii="Times New Roman" w:hAnsi="Times New Roman" w:cs="Times New Roman"/>
          <w:sz w:val="24"/>
          <w:szCs w:val="24"/>
        </w:rPr>
        <w:t xml:space="preserve">, bem como orientarão os </w:t>
      </w:r>
      <w:r w:rsidR="00B044BD">
        <w:rPr>
          <w:rFonts w:ascii="Times New Roman" w:hAnsi="Times New Roman" w:cs="Times New Roman"/>
          <w:sz w:val="24"/>
          <w:szCs w:val="24"/>
        </w:rPr>
        <w:t>Órgãos</w:t>
      </w:r>
      <w:r w:rsidR="00194B0C">
        <w:rPr>
          <w:rFonts w:ascii="Times New Roman" w:hAnsi="Times New Roman" w:cs="Times New Roman"/>
          <w:sz w:val="24"/>
          <w:szCs w:val="24"/>
        </w:rPr>
        <w:t xml:space="preserve"> e</w:t>
      </w:r>
      <w:r w:rsidRPr="000236C0">
        <w:rPr>
          <w:rFonts w:ascii="Times New Roman" w:hAnsi="Times New Roman" w:cs="Times New Roman"/>
          <w:sz w:val="24"/>
          <w:szCs w:val="24"/>
        </w:rPr>
        <w:t xml:space="preserve"> as </w:t>
      </w:r>
      <w:r w:rsidR="00B044BD" w:rsidRPr="000236C0">
        <w:rPr>
          <w:rFonts w:ascii="Times New Roman" w:hAnsi="Times New Roman" w:cs="Times New Roman"/>
          <w:sz w:val="24"/>
          <w:szCs w:val="24"/>
        </w:rPr>
        <w:t>Entidades</w:t>
      </w:r>
      <w:r w:rsidRPr="000236C0">
        <w:rPr>
          <w:rFonts w:ascii="Times New Roman" w:hAnsi="Times New Roman" w:cs="Times New Roman"/>
          <w:sz w:val="24"/>
          <w:szCs w:val="24"/>
        </w:rPr>
        <w:t xml:space="preserve"> da Administração Direta e Indireta e os </w:t>
      </w:r>
      <w:r w:rsidR="00B044BD">
        <w:rPr>
          <w:rFonts w:ascii="Times New Roman" w:hAnsi="Times New Roman" w:cs="Times New Roman"/>
          <w:sz w:val="24"/>
          <w:szCs w:val="24"/>
        </w:rPr>
        <w:t>F</w:t>
      </w:r>
      <w:r w:rsidRPr="000236C0">
        <w:rPr>
          <w:rFonts w:ascii="Times New Roman" w:hAnsi="Times New Roman" w:cs="Times New Roman"/>
          <w:sz w:val="24"/>
          <w:szCs w:val="24"/>
        </w:rPr>
        <w:t>undos, no cumprim</w:t>
      </w:r>
      <w:r w:rsidR="002423CD">
        <w:rPr>
          <w:rFonts w:ascii="Times New Roman" w:hAnsi="Times New Roman" w:cs="Times New Roman"/>
          <w:sz w:val="24"/>
          <w:szCs w:val="24"/>
        </w:rPr>
        <w:t>ento da Emenda Constitucional Federal nº</w:t>
      </w:r>
      <w:r w:rsidRPr="000236C0">
        <w:rPr>
          <w:rFonts w:ascii="Times New Roman" w:hAnsi="Times New Roman" w:cs="Times New Roman"/>
          <w:sz w:val="24"/>
          <w:szCs w:val="24"/>
        </w:rPr>
        <w:t xml:space="preserve"> 93</w:t>
      </w:r>
      <w:r w:rsidR="002423CD">
        <w:rPr>
          <w:rFonts w:ascii="Times New Roman" w:hAnsi="Times New Roman" w:cs="Times New Roman"/>
          <w:sz w:val="24"/>
          <w:szCs w:val="24"/>
        </w:rPr>
        <w:t xml:space="preserve">, de </w:t>
      </w:r>
      <w:r w:rsidRPr="000236C0"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Art. 5º. As demais receitas de impostos, taxas e multas instituídas ou </w:t>
      </w:r>
      <w:r w:rsidR="002423CD">
        <w:rPr>
          <w:rFonts w:ascii="Times New Roman" w:hAnsi="Times New Roman" w:cs="Times New Roman"/>
          <w:sz w:val="24"/>
          <w:szCs w:val="24"/>
        </w:rPr>
        <w:t xml:space="preserve">as </w:t>
      </w:r>
      <w:r w:rsidRPr="000236C0">
        <w:rPr>
          <w:rFonts w:ascii="Times New Roman" w:hAnsi="Times New Roman" w:cs="Times New Roman"/>
          <w:sz w:val="24"/>
          <w:szCs w:val="24"/>
        </w:rPr>
        <w:t>que vierem a ser criadas, seus adicionais e respectivos acréscimos legais, e</w:t>
      </w:r>
      <w:r w:rsidR="002423CD">
        <w:rPr>
          <w:rFonts w:ascii="Times New Roman" w:hAnsi="Times New Roman" w:cs="Times New Roman"/>
          <w:sz w:val="24"/>
          <w:szCs w:val="24"/>
        </w:rPr>
        <w:t xml:space="preserve"> </w:t>
      </w:r>
      <w:r w:rsidRPr="000236C0">
        <w:rPr>
          <w:rFonts w:ascii="Times New Roman" w:hAnsi="Times New Roman" w:cs="Times New Roman"/>
          <w:sz w:val="24"/>
          <w:szCs w:val="24"/>
        </w:rPr>
        <w:t>outra</w:t>
      </w:r>
      <w:r w:rsidR="002423CD">
        <w:rPr>
          <w:rFonts w:ascii="Times New Roman" w:hAnsi="Times New Roman" w:cs="Times New Roman"/>
          <w:sz w:val="24"/>
          <w:szCs w:val="24"/>
        </w:rPr>
        <w:t xml:space="preserve">s receitas correntes dos </w:t>
      </w:r>
      <w:r w:rsidR="00B044BD">
        <w:rPr>
          <w:rFonts w:ascii="Times New Roman" w:hAnsi="Times New Roman" w:cs="Times New Roman"/>
          <w:sz w:val="24"/>
          <w:szCs w:val="24"/>
        </w:rPr>
        <w:t>Órgãos</w:t>
      </w:r>
      <w:r w:rsidR="002423CD">
        <w:rPr>
          <w:rFonts w:ascii="Times New Roman" w:hAnsi="Times New Roman" w:cs="Times New Roman"/>
          <w:sz w:val="24"/>
          <w:szCs w:val="24"/>
        </w:rPr>
        <w:t xml:space="preserve"> e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  <w:r w:rsidR="00B044BD" w:rsidRPr="000236C0">
        <w:rPr>
          <w:rFonts w:ascii="Times New Roman" w:hAnsi="Times New Roman" w:cs="Times New Roman"/>
          <w:sz w:val="24"/>
          <w:szCs w:val="24"/>
        </w:rPr>
        <w:t>Entidades</w:t>
      </w:r>
      <w:r w:rsidRPr="000236C0">
        <w:rPr>
          <w:rFonts w:ascii="Times New Roman" w:hAnsi="Times New Roman" w:cs="Times New Roman"/>
          <w:sz w:val="24"/>
          <w:szCs w:val="24"/>
        </w:rPr>
        <w:t xml:space="preserve"> da Administração Direta e Indireta e</w:t>
      </w:r>
      <w:r w:rsidR="002423CD">
        <w:rPr>
          <w:rFonts w:ascii="Times New Roman" w:hAnsi="Times New Roman" w:cs="Times New Roman"/>
          <w:sz w:val="24"/>
          <w:szCs w:val="24"/>
        </w:rPr>
        <w:t xml:space="preserve"> dos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  <w:r w:rsidR="00B044BD">
        <w:rPr>
          <w:rFonts w:ascii="Times New Roman" w:hAnsi="Times New Roman" w:cs="Times New Roman"/>
          <w:sz w:val="24"/>
          <w:szCs w:val="24"/>
        </w:rPr>
        <w:t>F</w:t>
      </w:r>
      <w:r w:rsidRPr="000236C0">
        <w:rPr>
          <w:rFonts w:ascii="Times New Roman" w:hAnsi="Times New Roman" w:cs="Times New Roman"/>
          <w:sz w:val="24"/>
          <w:szCs w:val="24"/>
        </w:rPr>
        <w:t>undos poderão</w:t>
      </w:r>
      <w:r w:rsidR="002423CD">
        <w:rPr>
          <w:rFonts w:ascii="Times New Roman" w:hAnsi="Times New Roman" w:cs="Times New Roman"/>
          <w:sz w:val="24"/>
          <w:szCs w:val="24"/>
        </w:rPr>
        <w:t xml:space="preserve"> ser</w:t>
      </w:r>
      <w:r w:rsidRPr="000236C0">
        <w:rPr>
          <w:rFonts w:ascii="Times New Roman" w:hAnsi="Times New Roman" w:cs="Times New Roman"/>
          <w:sz w:val="24"/>
          <w:szCs w:val="24"/>
        </w:rPr>
        <w:t xml:space="preserve"> desvinculadas por meio de regulamentações estabelecidas em decretos específicos.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Art. 6º</w:t>
      </w:r>
      <w:r w:rsidR="00BA3C6B">
        <w:rPr>
          <w:rFonts w:ascii="Times New Roman" w:hAnsi="Times New Roman" w:cs="Times New Roman"/>
          <w:sz w:val="24"/>
          <w:szCs w:val="24"/>
        </w:rPr>
        <w:t>.</w:t>
      </w:r>
      <w:r w:rsidRPr="000236C0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 </w:t>
      </w:r>
    </w:p>
    <w:p w:rsidR="004B29F3" w:rsidRPr="000236C0" w:rsidRDefault="004B29F3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6C0" w:rsidRPr="000236C0" w:rsidRDefault="000236C0" w:rsidP="00023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36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1C3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 </w:t>
      </w:r>
      <w:bookmarkStart w:id="0" w:name="_GoBack"/>
      <w:bookmarkEnd w:id="0"/>
      <w:r w:rsidRPr="000236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março de </w:t>
      </w:r>
      <w:r w:rsidRPr="00023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201</w:t>
      </w:r>
      <w:r w:rsidRPr="000236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8, 130º da</w:t>
      </w:r>
      <w:r w:rsidRPr="000236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36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República.</w:t>
      </w:r>
    </w:p>
    <w:p w:rsidR="000236C0" w:rsidRPr="000236C0" w:rsidRDefault="000236C0" w:rsidP="00023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</w:pPr>
    </w:p>
    <w:p w:rsidR="000236C0" w:rsidRPr="000236C0" w:rsidRDefault="000236C0" w:rsidP="00023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</w:pPr>
    </w:p>
    <w:p w:rsidR="000236C0" w:rsidRPr="000236C0" w:rsidRDefault="000236C0" w:rsidP="00023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36C0" w:rsidRPr="000236C0" w:rsidRDefault="000236C0" w:rsidP="0002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36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CONFÚCIO AIRES MOURA</w:t>
      </w:r>
    </w:p>
    <w:p w:rsidR="000236C0" w:rsidRPr="000236C0" w:rsidRDefault="000236C0" w:rsidP="0002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0236C0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Governador</w:t>
      </w:r>
    </w:p>
    <w:p w:rsidR="00665655" w:rsidRPr="000236C0" w:rsidRDefault="00665655" w:rsidP="000236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655" w:rsidRPr="000236C0" w:rsidSect="000236C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C0" w:rsidRDefault="000236C0" w:rsidP="000236C0">
      <w:pPr>
        <w:spacing w:after="0" w:line="240" w:lineRule="auto"/>
      </w:pPr>
      <w:r>
        <w:separator/>
      </w:r>
    </w:p>
  </w:endnote>
  <w:endnote w:type="continuationSeparator" w:id="0">
    <w:p w:rsidR="000236C0" w:rsidRDefault="000236C0" w:rsidP="0002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C0" w:rsidRDefault="000236C0" w:rsidP="000236C0">
      <w:pPr>
        <w:spacing w:after="0" w:line="240" w:lineRule="auto"/>
      </w:pPr>
      <w:r>
        <w:separator/>
      </w:r>
    </w:p>
  </w:footnote>
  <w:footnote w:type="continuationSeparator" w:id="0">
    <w:p w:rsidR="000236C0" w:rsidRDefault="000236C0" w:rsidP="0002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C0" w:rsidRPr="000236C0" w:rsidRDefault="000236C0" w:rsidP="000236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236C0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83300361" r:id="rId2"/>
      </w:object>
    </w:r>
  </w:p>
  <w:p w:rsidR="000236C0" w:rsidRPr="000236C0" w:rsidRDefault="000236C0" w:rsidP="000236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236C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0236C0" w:rsidRPr="000236C0" w:rsidRDefault="000236C0" w:rsidP="000236C0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236C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0236C0" w:rsidRDefault="000236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3"/>
    <w:rsid w:val="000236C0"/>
    <w:rsid w:val="00194B0C"/>
    <w:rsid w:val="001C3009"/>
    <w:rsid w:val="002423CD"/>
    <w:rsid w:val="004B29F3"/>
    <w:rsid w:val="00665655"/>
    <w:rsid w:val="006A4E21"/>
    <w:rsid w:val="00B044BD"/>
    <w:rsid w:val="00B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FE3F996-27B2-4FD6-892A-70E311C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9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23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6C0"/>
  </w:style>
  <w:style w:type="paragraph" w:styleId="Rodap">
    <w:name w:val="footer"/>
    <w:basedOn w:val="Normal"/>
    <w:link w:val="RodapChar"/>
    <w:uiPriority w:val="99"/>
    <w:unhideWhenUsed/>
    <w:rsid w:val="00023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6C0"/>
  </w:style>
  <w:style w:type="paragraph" w:styleId="Textodebalo">
    <w:name w:val="Balloon Text"/>
    <w:basedOn w:val="Normal"/>
    <w:link w:val="TextodebaloChar"/>
    <w:uiPriority w:val="99"/>
    <w:semiHidden/>
    <w:unhideWhenUsed/>
    <w:rsid w:val="0019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2018-03-23T12:45:00Z</cp:lastPrinted>
  <dcterms:created xsi:type="dcterms:W3CDTF">2018-03-22T13:45:00Z</dcterms:created>
  <dcterms:modified xsi:type="dcterms:W3CDTF">2018-03-23T12:53:00Z</dcterms:modified>
</cp:coreProperties>
</file>