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7E" w:rsidRPr="00E166A7" w:rsidRDefault="003E41CA" w:rsidP="00E166A7">
      <w:pPr>
        <w:widowControl w:val="0"/>
        <w:snapToGrid w:val="0"/>
        <w:jc w:val="center"/>
      </w:pPr>
      <w:r>
        <w:t>DECRETO N.</w:t>
      </w:r>
      <w:r w:rsidR="00D7321E" w:rsidRPr="00E166A7">
        <w:t xml:space="preserve"> </w:t>
      </w:r>
      <w:r>
        <w:t>22.655, DE</w:t>
      </w:r>
      <w:r w:rsidR="00D7321E" w:rsidRPr="00E166A7">
        <w:t xml:space="preserve"> </w:t>
      </w:r>
      <w:r>
        <w:t>14</w:t>
      </w:r>
      <w:r w:rsidR="00D7321E" w:rsidRPr="00E166A7">
        <w:t xml:space="preserve"> DE </w:t>
      </w:r>
      <w:r w:rsidR="00DD245B">
        <w:t>MARÇO</w:t>
      </w:r>
      <w:r w:rsidR="00D7321E" w:rsidRPr="00E166A7">
        <w:t xml:space="preserve"> DE 2018.</w:t>
      </w:r>
    </w:p>
    <w:p w:rsidR="0060017E" w:rsidRPr="00E166A7" w:rsidRDefault="0060017E" w:rsidP="00E166A7">
      <w:pPr>
        <w:widowControl w:val="0"/>
        <w:snapToGrid w:val="0"/>
        <w:ind w:firstLine="1134"/>
        <w:jc w:val="both"/>
        <w:rPr>
          <w:b/>
        </w:rPr>
      </w:pPr>
    </w:p>
    <w:p w:rsidR="008E73D1" w:rsidRPr="00E166A7" w:rsidRDefault="0060017E" w:rsidP="00E166A7">
      <w:pPr>
        <w:ind w:left="5103"/>
        <w:contextualSpacing/>
        <w:jc w:val="both"/>
      </w:pPr>
      <w:r w:rsidRPr="00E166A7">
        <w:t>Regulamenta a Lei nº 2</w:t>
      </w:r>
      <w:r w:rsidR="00023A32" w:rsidRPr="00E166A7">
        <w:t xml:space="preserve">.030, de 10 de março de </w:t>
      </w:r>
      <w:r w:rsidRPr="00E166A7">
        <w:t xml:space="preserve">2009, </w:t>
      </w:r>
      <w:r w:rsidR="008E73D1" w:rsidRPr="00E166A7">
        <w:t xml:space="preserve">que </w:t>
      </w:r>
      <w:r w:rsidR="0064495C" w:rsidRPr="00E166A7">
        <w:t>“</w:t>
      </w:r>
      <w:r w:rsidR="000E3D1A" w:rsidRPr="00E166A7">
        <w:t xml:space="preserve">Institui o Programa de Incentivo à Industrialização do </w:t>
      </w:r>
      <w:r w:rsidR="00C775AB" w:rsidRPr="00E166A7">
        <w:t>Café em Rondônia - PROCAFÉ-</w:t>
      </w:r>
      <w:r w:rsidR="000E3D1A" w:rsidRPr="00E166A7">
        <w:t>Indústria; extingue o</w:t>
      </w:r>
      <w:r w:rsidR="00C775AB" w:rsidRPr="00E166A7">
        <w:t xml:space="preserve"> Fundo de Desenvolvimento Agropecuário e Florestal - FUNDAGRI</w:t>
      </w:r>
      <w:r w:rsidR="000E3D1A" w:rsidRPr="00E166A7">
        <w:t xml:space="preserve"> e cria o Fundo de Apoio</w:t>
      </w:r>
      <w:r w:rsidR="00C775AB" w:rsidRPr="00E166A7">
        <w:t xml:space="preserve"> à Cultura do Café em Rondônia -</w:t>
      </w:r>
      <w:r w:rsidR="000E3D1A" w:rsidRPr="00E166A7">
        <w:t xml:space="preserve"> FUNCAFÉ/RO.</w:t>
      </w:r>
      <w:r w:rsidR="00C775AB" w:rsidRPr="00E166A7">
        <w:t>”.</w:t>
      </w:r>
    </w:p>
    <w:p w:rsidR="00D7321E" w:rsidRPr="00E166A7" w:rsidRDefault="00D7321E" w:rsidP="00E166A7">
      <w:pPr>
        <w:ind w:left="3402"/>
        <w:contextualSpacing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O GOVERNADOR DO ESTADO DE RONDÔNIA, no uso das atribuições que lh</w:t>
      </w:r>
      <w:r w:rsidR="0064495C" w:rsidRPr="00E166A7">
        <w:t>e confere o artigo 65, inciso V</w:t>
      </w:r>
      <w:r w:rsidRPr="00E166A7">
        <w:t xml:space="preserve"> da Constituição </w:t>
      </w:r>
      <w:r w:rsidR="00970305" w:rsidRPr="00E166A7">
        <w:t xml:space="preserve">Estadual, </w:t>
      </w:r>
      <w:proofErr w:type="gramStart"/>
      <w:r w:rsidR="00970305" w:rsidRPr="00E166A7">
        <w:t>e</w:t>
      </w:r>
      <w:proofErr w:type="gramEnd"/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Considerando o objetivo de dinamizar o processo de industrialização do café </w:t>
      </w:r>
      <w:r w:rsidR="007D6E79" w:rsidRPr="00E166A7">
        <w:t>produzido no Estado de Rondônia</w:t>
      </w:r>
      <w:r w:rsidRPr="00E166A7">
        <w:t xml:space="preserve"> dentro dos padrões tecnológicos de quali</w:t>
      </w:r>
      <w:r w:rsidR="0010358F" w:rsidRPr="00E166A7">
        <w:t>dade e de preservação ambiental;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Considerando a necessidade de estimular investimentos públicos e privados para me</w:t>
      </w:r>
      <w:r w:rsidR="0010358F" w:rsidRPr="00E166A7">
        <w:t>lhoria da cafeicultura estadual;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Considerando a necessidade de </w:t>
      </w:r>
      <w:proofErr w:type="gramStart"/>
      <w:r w:rsidRPr="00E166A7">
        <w:t>implementar</w:t>
      </w:r>
      <w:proofErr w:type="gramEnd"/>
      <w:r w:rsidRPr="00E166A7">
        <w:t xml:space="preserve"> ações estratégicas e subprogramas do </w:t>
      </w:r>
      <w:r w:rsidR="007D6E79" w:rsidRPr="00E166A7">
        <w:t>Programa de Incentivo à Industrialização do Café em Rondônia - PROCAFÉ - Indústria</w:t>
      </w:r>
      <w:r w:rsidR="0010358F" w:rsidRPr="00E166A7">
        <w:t>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Considerando a necessidade de estimular a geração de emprego</w:t>
      </w:r>
      <w:r w:rsidR="00B9407F">
        <w:t xml:space="preserve"> e renda nos setores produtivos</w:t>
      </w:r>
      <w:r w:rsidRPr="00E166A7">
        <w:t xml:space="preserve"> </w:t>
      </w:r>
      <w:r w:rsidR="003447C6" w:rsidRPr="00E166A7">
        <w:t>com o intuito de incrementar</w:t>
      </w:r>
      <w:r w:rsidRPr="00E166A7">
        <w:t xml:space="preserve"> a produtividade da cafeicultura rondonien</w:t>
      </w:r>
      <w:r w:rsidR="0010358F" w:rsidRPr="00E166A7">
        <w:t>se e atrair novos investimentos;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Considerando a necessidade de desenvolver centros integrados de produção visando o desenvolvimento e inter</w:t>
      </w:r>
      <w:r w:rsidR="003447C6" w:rsidRPr="00E166A7">
        <w:t>iorização de setores produtivos</w:t>
      </w:r>
      <w:r w:rsidRPr="00E166A7">
        <w:t xml:space="preserve"> harmonizados com a</w:t>
      </w:r>
      <w:r w:rsidR="0010358F" w:rsidRPr="00E166A7">
        <w:t xml:space="preserve"> política de proteção ambiental;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Considerando </w:t>
      </w:r>
      <w:r w:rsidR="00D63C64">
        <w:t>a necessidade de agregar valor</w:t>
      </w:r>
      <w:r w:rsidRPr="00E166A7">
        <w:t xml:space="preserve"> a produto primário de alta relevância para a economia estadual</w:t>
      </w:r>
      <w:r w:rsidR="006B4525" w:rsidRPr="00E166A7">
        <w:t>;</w:t>
      </w:r>
      <w:r w:rsidRPr="00E166A7">
        <w:t xml:space="preserve"> e</w:t>
      </w:r>
      <w:r w:rsidR="00970305" w:rsidRPr="00E166A7">
        <w:t xml:space="preserve"> </w:t>
      </w:r>
      <w:proofErr w:type="gramStart"/>
      <w:r w:rsidR="00970305" w:rsidRPr="00E166A7">
        <w:t>ainda</w:t>
      </w:r>
      <w:proofErr w:type="gramEnd"/>
    </w:p>
    <w:p w:rsidR="000C76D6" w:rsidRPr="00E166A7" w:rsidRDefault="000C76D6" w:rsidP="00292DC1">
      <w:pPr>
        <w:jc w:val="both"/>
      </w:pPr>
    </w:p>
    <w:p w:rsidR="002260FA" w:rsidRPr="00D63C64" w:rsidRDefault="0060017E" w:rsidP="00E166A7">
      <w:pPr>
        <w:ind w:firstLine="567"/>
        <w:jc w:val="both"/>
      </w:pPr>
      <w:r w:rsidRPr="00D63C64">
        <w:t>Considerando o di</w:t>
      </w:r>
      <w:r w:rsidR="00D63C64" w:rsidRPr="00D63C64">
        <w:t>sposto no artigo 1º e parágrafo único do</w:t>
      </w:r>
      <w:r w:rsidRPr="00D63C64">
        <w:t xml:space="preserve"> artigo</w:t>
      </w:r>
      <w:r w:rsidR="00D63C64" w:rsidRPr="00D63C64">
        <w:t xml:space="preserve"> 4º, bem como</w:t>
      </w:r>
      <w:r w:rsidR="00A8411F">
        <w:t xml:space="preserve"> no</w:t>
      </w:r>
      <w:r w:rsidR="00D63C64" w:rsidRPr="00D63C64">
        <w:t xml:space="preserve"> parágrafo único do artigo </w:t>
      </w:r>
      <w:r w:rsidRPr="00D63C64">
        <w:t>5º da Lei nº 2</w:t>
      </w:r>
      <w:r w:rsidR="0064495C" w:rsidRPr="00D63C64">
        <w:t>.</w:t>
      </w:r>
      <w:r w:rsidRPr="00D63C64">
        <w:t xml:space="preserve">030, de 10 de março de 2009, que tratam da execução das </w:t>
      </w:r>
      <w:r w:rsidR="00970305" w:rsidRPr="00D63C64">
        <w:t>políticas de incentivo</w:t>
      </w:r>
      <w:r w:rsidR="002214E8" w:rsidRPr="00D63C64">
        <w:t xml:space="preserve"> ao desenvolvimento </w:t>
      </w:r>
      <w:r w:rsidRPr="00D63C64">
        <w:t xml:space="preserve">de Rondônia </w:t>
      </w:r>
      <w:r w:rsidR="007E5C8B" w:rsidRPr="00D63C64">
        <w:t>por meio</w:t>
      </w:r>
      <w:r w:rsidRPr="00D63C64">
        <w:t xml:space="preserve"> de concessão de incentivo de natureza financeira</w:t>
      </w:r>
      <w:r w:rsidR="007E5C8B" w:rsidRPr="00D63C64">
        <w:t>,</w:t>
      </w:r>
    </w:p>
    <w:p w:rsidR="00D7321E" w:rsidRPr="00E166A7" w:rsidRDefault="00D7321E" w:rsidP="00E166A7">
      <w:pPr>
        <w:ind w:firstLine="567"/>
        <w:jc w:val="center"/>
        <w:rPr>
          <w:b/>
        </w:rPr>
      </w:pPr>
    </w:p>
    <w:p w:rsidR="0060017E" w:rsidRPr="00E166A7" w:rsidRDefault="002260FA" w:rsidP="00E166A7">
      <w:pPr>
        <w:ind w:firstLine="567"/>
        <w:jc w:val="both"/>
      </w:pPr>
      <w:r w:rsidRPr="00E166A7">
        <w:rPr>
          <w:u w:val="single"/>
        </w:rPr>
        <w:t>D</w:t>
      </w:r>
      <w:r w:rsidR="00D7321E" w:rsidRPr="00E166A7">
        <w:t xml:space="preserve"> </w:t>
      </w:r>
      <w:r w:rsidRPr="00E166A7">
        <w:rPr>
          <w:u w:val="single"/>
        </w:rPr>
        <w:t>E</w:t>
      </w:r>
      <w:r w:rsidR="00D7321E" w:rsidRPr="00E166A7">
        <w:t xml:space="preserve"> </w:t>
      </w:r>
      <w:r w:rsidRPr="00E166A7">
        <w:rPr>
          <w:u w:val="single"/>
        </w:rPr>
        <w:t>C</w:t>
      </w:r>
      <w:r w:rsidR="00D7321E" w:rsidRPr="00E166A7">
        <w:t xml:space="preserve"> </w:t>
      </w:r>
      <w:r w:rsidRPr="00E166A7">
        <w:rPr>
          <w:u w:val="single"/>
        </w:rPr>
        <w:t>R</w:t>
      </w:r>
      <w:r w:rsidR="00D7321E" w:rsidRPr="00E166A7">
        <w:t xml:space="preserve"> </w:t>
      </w:r>
      <w:r w:rsidRPr="00E166A7">
        <w:rPr>
          <w:u w:val="single"/>
        </w:rPr>
        <w:t>E</w:t>
      </w:r>
      <w:r w:rsidR="00D7321E" w:rsidRPr="00E166A7">
        <w:t xml:space="preserve"> </w:t>
      </w:r>
      <w:r w:rsidRPr="00E166A7">
        <w:rPr>
          <w:u w:val="single"/>
        </w:rPr>
        <w:t>T</w:t>
      </w:r>
      <w:r w:rsidR="00D7321E" w:rsidRPr="00E166A7">
        <w:t xml:space="preserve"> </w:t>
      </w:r>
      <w:r w:rsidRPr="00E166A7">
        <w:rPr>
          <w:u w:val="single"/>
        </w:rPr>
        <w:t>A</w:t>
      </w:r>
      <w:r w:rsidR="00D7321E" w:rsidRPr="00E166A7">
        <w:t>:</w:t>
      </w:r>
    </w:p>
    <w:p w:rsidR="00D7321E" w:rsidRPr="00E166A7" w:rsidRDefault="00D7321E" w:rsidP="00E166A7">
      <w:pPr>
        <w:ind w:firstLine="567"/>
        <w:jc w:val="both"/>
        <w:rPr>
          <w:b/>
        </w:rPr>
      </w:pPr>
    </w:p>
    <w:p w:rsidR="0060017E" w:rsidRPr="00E166A7" w:rsidRDefault="0060017E" w:rsidP="00E166A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166A7">
        <w:rPr>
          <w:rFonts w:eastAsiaTheme="minorHAnsi"/>
          <w:lang w:eastAsia="en-US"/>
        </w:rPr>
        <w:t>Art. 1º</w:t>
      </w:r>
      <w:r w:rsidR="006A01C8" w:rsidRPr="00E166A7">
        <w:rPr>
          <w:rFonts w:eastAsiaTheme="minorHAnsi"/>
          <w:lang w:eastAsia="en-US"/>
        </w:rPr>
        <w:t>.</w:t>
      </w:r>
      <w:r w:rsidRPr="00E166A7">
        <w:rPr>
          <w:rFonts w:eastAsiaTheme="minorHAnsi"/>
          <w:lang w:eastAsia="en-US"/>
        </w:rPr>
        <w:t xml:space="preserve"> Fica regulamentado o </w:t>
      </w:r>
      <w:r w:rsidR="002214E8" w:rsidRPr="00E166A7">
        <w:t>Programa de Incentivo à Industrialização do Café em Rondônia</w:t>
      </w:r>
      <w:r w:rsidRPr="00E166A7">
        <w:rPr>
          <w:rFonts w:eastAsiaTheme="minorHAnsi"/>
          <w:lang w:eastAsia="en-US"/>
        </w:rPr>
        <w:t xml:space="preserve"> e o </w:t>
      </w:r>
      <w:r w:rsidR="002214E8" w:rsidRPr="00E166A7">
        <w:t>Fundo de Apoio à Cultura do Café em Rondônia</w:t>
      </w:r>
      <w:r w:rsidRPr="00E166A7">
        <w:t xml:space="preserve">, </w:t>
      </w:r>
      <w:r w:rsidR="006A01C8" w:rsidRPr="00E166A7">
        <w:rPr>
          <w:rFonts w:eastAsiaTheme="minorHAnsi"/>
          <w:lang w:eastAsia="en-US"/>
        </w:rPr>
        <w:t>denominados</w:t>
      </w:r>
      <w:r w:rsidR="006D7263">
        <w:rPr>
          <w:rFonts w:eastAsiaTheme="minorHAnsi"/>
          <w:lang w:eastAsia="en-US"/>
        </w:rPr>
        <w:t>,</w:t>
      </w:r>
      <w:r w:rsidR="00E80CD2">
        <w:rPr>
          <w:rFonts w:eastAsiaTheme="minorHAnsi"/>
          <w:lang w:eastAsia="en-US"/>
        </w:rPr>
        <w:t xml:space="preserve"> respectivamente</w:t>
      </w:r>
      <w:r w:rsidR="006D7263">
        <w:rPr>
          <w:rFonts w:eastAsiaTheme="minorHAnsi"/>
          <w:lang w:eastAsia="en-US"/>
        </w:rPr>
        <w:t>,</w:t>
      </w:r>
      <w:r w:rsidRPr="00E166A7">
        <w:rPr>
          <w:rFonts w:eastAsiaTheme="minorHAnsi"/>
          <w:lang w:eastAsia="en-US"/>
        </w:rPr>
        <w:t xml:space="preserve"> de </w:t>
      </w:r>
      <w:r w:rsidRPr="00E166A7">
        <w:t xml:space="preserve">PROCAFÉ-Indústria e </w:t>
      </w:r>
      <w:r w:rsidR="002214E8" w:rsidRPr="00E166A7">
        <w:t>FUNCAFÉ/RO</w:t>
      </w:r>
      <w:r w:rsidRPr="00E166A7">
        <w:t>,</w:t>
      </w:r>
      <w:r w:rsidR="002214E8" w:rsidRPr="00E166A7">
        <w:t xml:space="preserve"> instituído</w:t>
      </w:r>
      <w:r w:rsidR="00970305" w:rsidRPr="00E166A7">
        <w:t>s</w:t>
      </w:r>
      <w:r w:rsidR="002214E8" w:rsidRPr="00E166A7">
        <w:t xml:space="preserve"> e criado</w:t>
      </w:r>
      <w:r w:rsidR="00970305" w:rsidRPr="00E166A7">
        <w:t>s</w:t>
      </w:r>
      <w:r w:rsidRPr="00E166A7">
        <w:rPr>
          <w:rFonts w:eastAsiaTheme="minorHAnsi"/>
          <w:lang w:eastAsia="en-US"/>
        </w:rPr>
        <w:t xml:space="preserve"> pela Lei n</w:t>
      </w:r>
      <w:r w:rsidR="00FE7316" w:rsidRPr="00E166A7">
        <w:rPr>
          <w:rFonts w:eastAsiaTheme="minorHAnsi"/>
          <w:lang w:eastAsia="en-US"/>
        </w:rPr>
        <w:t>º 2.030, de 10 de março de 2009</w:t>
      </w:r>
      <w:r w:rsidR="00E80CD2">
        <w:rPr>
          <w:rFonts w:eastAsiaTheme="minorHAnsi"/>
          <w:lang w:eastAsia="en-US"/>
        </w:rPr>
        <w:t>,</w:t>
      </w:r>
      <w:r w:rsidR="00FE7316" w:rsidRPr="00E166A7">
        <w:rPr>
          <w:rFonts w:eastAsiaTheme="minorHAnsi"/>
          <w:lang w:eastAsia="en-US"/>
        </w:rPr>
        <w:t xml:space="preserve"> e alterações</w:t>
      </w:r>
      <w:r w:rsidR="00011163">
        <w:rPr>
          <w:rFonts w:eastAsiaTheme="minorHAnsi"/>
          <w:lang w:eastAsia="en-US"/>
        </w:rPr>
        <w:t>,</w:t>
      </w:r>
      <w:r w:rsidR="00011163" w:rsidRPr="00011163">
        <w:rPr>
          <w:rFonts w:eastAsiaTheme="minorHAnsi"/>
          <w:lang w:eastAsia="en-US"/>
        </w:rPr>
        <w:t xml:space="preserve"> </w:t>
      </w:r>
      <w:r w:rsidR="00011163" w:rsidRPr="00E166A7">
        <w:rPr>
          <w:rFonts w:eastAsiaTheme="minorHAnsi"/>
          <w:lang w:eastAsia="en-US"/>
        </w:rPr>
        <w:t>nos termos deste Decreto</w:t>
      </w:r>
      <w:r w:rsidR="00FE7316" w:rsidRPr="00E166A7">
        <w:rPr>
          <w:rFonts w:eastAsiaTheme="minorHAnsi"/>
          <w:lang w:eastAsia="en-US"/>
        </w:rPr>
        <w:t>.</w:t>
      </w:r>
    </w:p>
    <w:p w:rsidR="00D7321E" w:rsidRPr="00E166A7" w:rsidRDefault="00D7321E" w:rsidP="00E166A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01C8" w:rsidRPr="00A8411F" w:rsidRDefault="00A8411F" w:rsidP="00A8411F">
      <w:pPr>
        <w:ind w:firstLine="567"/>
        <w:jc w:val="both"/>
      </w:pPr>
      <w:r w:rsidRPr="00A8411F">
        <w:t>Art. 2</w:t>
      </w:r>
      <w:r w:rsidR="0060017E" w:rsidRPr="00A8411F">
        <w:t xml:space="preserve">º. O </w:t>
      </w:r>
      <w:r w:rsidR="002214E8" w:rsidRPr="00A8411F">
        <w:t xml:space="preserve">Programa de Incentivo à Industrialização do Café em Rondônia - PROCAFÉ-Indústria </w:t>
      </w:r>
      <w:r w:rsidR="0060017E" w:rsidRPr="00A8411F">
        <w:t>tem como objetivo dinamizar o processo de industr</w:t>
      </w:r>
      <w:r w:rsidR="006A01C8" w:rsidRPr="00A8411F">
        <w:t>ialização do café produzido no E</w:t>
      </w:r>
      <w:r w:rsidR="002214E8" w:rsidRPr="00A8411F">
        <w:t>stado de Rondônia</w:t>
      </w:r>
      <w:r w:rsidR="0060017E" w:rsidRPr="00A8411F">
        <w:t xml:space="preserve"> dentro dos padrões tecnológicos de qualidade e de preservação ambiental, bem como estimular investimentos públicos e privados, oferecendo incentivos fiscais às indústrias regularmente cadastradas e credenciadas.</w:t>
      </w:r>
    </w:p>
    <w:p w:rsidR="0060017E" w:rsidRPr="00A8411F" w:rsidRDefault="00A8411F" w:rsidP="00E166A7">
      <w:pPr>
        <w:ind w:firstLine="567"/>
        <w:jc w:val="both"/>
      </w:pPr>
      <w:r w:rsidRPr="00A8411F">
        <w:lastRenderedPageBreak/>
        <w:t>Art. 3º</w:t>
      </w:r>
      <w:r w:rsidR="0060017E" w:rsidRPr="00A8411F">
        <w:t xml:space="preserve">. O </w:t>
      </w:r>
      <w:r w:rsidR="002214E8" w:rsidRPr="00A8411F">
        <w:t>Fundo de Apoio</w:t>
      </w:r>
      <w:r w:rsidR="00B93D96" w:rsidRPr="00A8411F">
        <w:t xml:space="preserve"> à Cultura do Café em Rondônia -</w:t>
      </w:r>
      <w:r w:rsidR="002214E8" w:rsidRPr="00A8411F">
        <w:t xml:space="preserve"> FUNCAFÉ/RO </w:t>
      </w:r>
      <w:r w:rsidR="0060017E" w:rsidRPr="00A8411F">
        <w:t xml:space="preserve">tem a finalidade de apoiar as ações estratégicas e subprogramas do </w:t>
      </w:r>
      <w:r w:rsidR="002214E8" w:rsidRPr="00A8411F">
        <w:t>Programa de Incentivo à Industrialização do Café em Rondônia - PROCAFÉ-Indústria</w:t>
      </w:r>
      <w:r w:rsidR="0060017E" w:rsidRPr="00A8411F">
        <w:t>, notadamente em pesquisa agrícola e ambiental, treinamento de técnicos e produtores, realização de eventos técnicos, difusão de tecnologia</w:t>
      </w:r>
      <w:r w:rsidR="00E80CD2">
        <w:t xml:space="preserve">, promoção e marketing do setor </w:t>
      </w:r>
      <w:r w:rsidR="0060017E" w:rsidRPr="00A8411F">
        <w:t xml:space="preserve">cafeeiro e no fomento da produção, conforme dispuser o seu </w:t>
      </w:r>
      <w:r w:rsidR="00970305" w:rsidRPr="00A8411F">
        <w:t xml:space="preserve">Regimento Interno </w:t>
      </w:r>
      <w:r w:rsidR="006A01C8" w:rsidRPr="00A8411F">
        <w:t>na área territorial do E</w:t>
      </w:r>
      <w:r w:rsidR="0060017E" w:rsidRPr="00A8411F">
        <w:t>stado de Rondônia.</w:t>
      </w:r>
      <w:r w:rsidR="0060017E" w:rsidRPr="00A8411F">
        <w:rPr>
          <w:noProof/>
        </w:rPr>
        <w:drawing>
          <wp:inline distT="0" distB="0" distL="0" distR="0" wp14:anchorId="7B781FF1" wp14:editId="4A6E500B">
            <wp:extent cx="4572" cy="4572"/>
            <wp:effectExtent l="0" t="0" r="0" b="0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A8411F" w:rsidP="00E166A7">
      <w:pPr>
        <w:ind w:firstLine="567"/>
        <w:jc w:val="both"/>
      </w:pPr>
      <w:r>
        <w:t>Art. 4</w:t>
      </w:r>
      <w:r w:rsidR="0060017E" w:rsidRPr="00E166A7">
        <w:t>º. O candidato interessado em integrar-se no PROCAFÉ</w:t>
      </w:r>
      <w:r w:rsidR="00D7321E" w:rsidRPr="00E166A7">
        <w:t>-</w:t>
      </w:r>
      <w:r w:rsidR="0060017E" w:rsidRPr="00E166A7">
        <w:t xml:space="preserve">Indústria e participar dos seus benefícios deverá observar </w:t>
      </w:r>
      <w:r w:rsidR="00107492" w:rsidRPr="00E166A7">
        <w:t>o</w:t>
      </w:r>
      <w:r w:rsidR="0060017E" w:rsidRPr="00E166A7">
        <w:t xml:space="preserve">s seguintes </w:t>
      </w:r>
      <w:r w:rsidR="000D7A8D" w:rsidRPr="00E166A7">
        <w:t>requisitos</w:t>
      </w:r>
      <w:r w:rsidR="0060017E" w:rsidRPr="00E166A7">
        <w:t xml:space="preserve"> mínim</w:t>
      </w:r>
      <w:r w:rsidR="000D7A8D" w:rsidRPr="00E166A7">
        <w:t>o</w:t>
      </w:r>
      <w:r w:rsidR="0060017E" w:rsidRPr="00E166A7">
        <w:t>s de instalação e de processamento: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I </w:t>
      </w:r>
      <w:r w:rsidR="00D7321E" w:rsidRPr="00E166A7">
        <w:t>-</w:t>
      </w:r>
      <w:r w:rsidRPr="00E166A7">
        <w:t xml:space="preserve"> comprovação de regularidade de suas obrigações para com o </w:t>
      </w:r>
      <w:r w:rsidR="00BF50AD" w:rsidRPr="00E166A7">
        <w:t>Fisco Estadual</w:t>
      </w:r>
      <w:r w:rsidRPr="00E166A7">
        <w:t xml:space="preserve">, inclusive quanto </w:t>
      </w:r>
      <w:r w:rsidR="00970305" w:rsidRPr="00E166A7">
        <w:t>à</w:t>
      </w:r>
      <w:r w:rsidRPr="00E166A7">
        <w:t xml:space="preserve"> i</w:t>
      </w:r>
      <w:r w:rsidR="00BF50AD" w:rsidRPr="00E166A7">
        <w:t>nexistência de débitos na Dívida Ativa</w:t>
      </w:r>
      <w:r w:rsidR="007E5C8B" w:rsidRPr="00E166A7">
        <w:t xml:space="preserve">; </w:t>
      </w:r>
      <w:proofErr w:type="gramStart"/>
      <w:r w:rsidR="007E5C8B" w:rsidRPr="00E166A7">
        <w:t>e</w:t>
      </w:r>
      <w:proofErr w:type="gramEnd"/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II </w:t>
      </w:r>
      <w:r w:rsidR="00D7321E" w:rsidRPr="00E166A7">
        <w:t>-</w:t>
      </w:r>
      <w:r w:rsidRPr="00E166A7">
        <w:t xml:space="preserve"> comprovação, por meio de notas fiscais de compra, da utilização de pelo menos 50% (cinquenta por cento) </w:t>
      </w:r>
      <w:r w:rsidR="00BF50AD" w:rsidRPr="00E166A7">
        <w:t>do</w:t>
      </w:r>
      <w:r w:rsidRPr="00E166A7">
        <w:t xml:space="preserve"> café produzido em território rondoniense no processo de industrialização.</w:t>
      </w:r>
    </w:p>
    <w:p w:rsidR="00D7321E" w:rsidRPr="00E166A7" w:rsidRDefault="00D7321E" w:rsidP="00E166A7">
      <w:pPr>
        <w:ind w:firstLine="567"/>
        <w:jc w:val="both"/>
      </w:pPr>
    </w:p>
    <w:p w:rsidR="00066BE3" w:rsidRPr="00E166A7" w:rsidRDefault="00066BE3" w:rsidP="00E166A7">
      <w:pPr>
        <w:ind w:firstLine="567"/>
        <w:jc w:val="both"/>
      </w:pPr>
      <w:r w:rsidRPr="00E166A7">
        <w:t xml:space="preserve">§ 1º. O disposto no inciso II deste artigo deverá ser alcançado em </w:t>
      </w:r>
      <w:proofErr w:type="gramStart"/>
      <w:r w:rsidRPr="00E166A7">
        <w:t>3</w:t>
      </w:r>
      <w:proofErr w:type="gramEnd"/>
      <w:r w:rsidRPr="00E166A7">
        <w:t xml:space="preserve"> (três) anos a partir da data de adesão da empresa ao </w:t>
      </w:r>
      <w:r w:rsidR="00BF50AD" w:rsidRPr="00E166A7">
        <w:t>Programa de Incentivo à Industrialização do Café em Rondônia - PROCAFÉ-Indústria</w:t>
      </w:r>
      <w:r w:rsidRPr="00E166A7">
        <w:t>, sendo estabelecido em 15% (quinze por cento) no pri</w:t>
      </w:r>
      <w:r w:rsidR="006D7263">
        <w:t>meiro ano;</w:t>
      </w:r>
      <w:r w:rsidRPr="00E166A7">
        <w:t xml:space="preserve"> 30% (trinta por cento) no segundo</w:t>
      </w:r>
      <w:r w:rsidR="006D7263">
        <w:t>;</w:t>
      </w:r>
      <w:r w:rsidRPr="00E166A7">
        <w:t xml:space="preserve"> e 5% (cinco por cento) no terceiro ano</w:t>
      </w:r>
      <w:r w:rsidR="00040D21" w:rsidRPr="00E166A7">
        <w:t>, cumulativamente.</w:t>
      </w:r>
      <w:r w:rsidRPr="00E166A7">
        <w:t xml:space="preserve"> </w:t>
      </w:r>
      <w:r w:rsidR="00BF50AD" w:rsidRPr="00E166A7">
        <w:t xml:space="preserve"> 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§ 2º. O não atendimento das condições previstas </w:t>
      </w:r>
      <w:r w:rsidR="00376A65" w:rsidRPr="00E166A7">
        <w:t>na Lei nº 2.030, de 10 de março de 2009</w:t>
      </w:r>
      <w:r w:rsidR="00040805">
        <w:t>,</w:t>
      </w:r>
      <w:r w:rsidR="00A974A9" w:rsidRPr="00E166A7">
        <w:t xml:space="preserve"> </w:t>
      </w:r>
      <w:r w:rsidRPr="00E166A7">
        <w:t>provocará a suspensão do benefício concedido.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§ 3º. A não regularização da situação que motivou a suspensão</w:t>
      </w:r>
      <w:r w:rsidR="007D4CD7" w:rsidRPr="00E166A7">
        <w:t xml:space="preserve"> prevista no parágrafo anterior,</w:t>
      </w:r>
      <w:r w:rsidRPr="00E166A7">
        <w:rPr>
          <w:color w:val="00B050"/>
        </w:rPr>
        <w:t xml:space="preserve"> </w:t>
      </w:r>
      <w:r w:rsidRPr="00E166A7">
        <w:t>no prazo de</w:t>
      </w:r>
      <w:r w:rsidR="008D4218" w:rsidRPr="00E166A7">
        <w:t xml:space="preserve"> 60 (sessenta) dias</w:t>
      </w:r>
      <w:r w:rsidRPr="00E166A7">
        <w:t>, acarretará no cancelamento do benefício concedido e na exclusão do</w:t>
      </w:r>
      <w:r w:rsidR="00BF50AD" w:rsidRPr="00E166A7">
        <w:t xml:space="preserve"> candidato no</w:t>
      </w:r>
      <w:r w:rsidRPr="00E166A7">
        <w:t xml:space="preserve"> Programa.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A8411F" w:rsidP="00E166A7">
      <w:pPr>
        <w:ind w:firstLine="567"/>
        <w:jc w:val="both"/>
      </w:pPr>
      <w:r>
        <w:t>Art. 5</w:t>
      </w:r>
      <w:r w:rsidR="0060017E" w:rsidRPr="00E166A7">
        <w:t xml:space="preserve">º. Será concedido às indústrias enquadradas no </w:t>
      </w:r>
      <w:r w:rsidR="00E166A7" w:rsidRPr="00E166A7">
        <w:t xml:space="preserve">Regime Normal de Tributação </w:t>
      </w:r>
      <w:r w:rsidR="0060017E" w:rsidRPr="00E166A7">
        <w:t xml:space="preserve">que atenderem às precondições do artigo anterior deste Decreto, </w:t>
      </w:r>
      <w:r w:rsidR="002D409F" w:rsidRPr="00E166A7">
        <w:t xml:space="preserve">o </w:t>
      </w:r>
      <w:r w:rsidR="0060017E" w:rsidRPr="00E166A7">
        <w:t>crédito pr</w:t>
      </w:r>
      <w:r w:rsidR="002D409F" w:rsidRPr="00E166A7">
        <w:t>esumido de 75% (setenta e cinco</w:t>
      </w:r>
      <w:r w:rsidR="0060017E" w:rsidRPr="00E166A7">
        <w:t xml:space="preserve"> por cento) do valor do imposto devido pelas saídas de produtos resultantes da industrialização de café solúvel</w:t>
      </w:r>
      <w:r w:rsidR="00F878A9">
        <w:t>,</w:t>
      </w:r>
      <w:r w:rsidR="0060017E" w:rsidRPr="00E166A7">
        <w:t xml:space="preserve"> de </w:t>
      </w:r>
      <w:r w:rsidR="002D409F" w:rsidRPr="00E166A7">
        <w:t>torrefação e moagem de café no E</w:t>
      </w:r>
      <w:r w:rsidR="00BF50AD" w:rsidRPr="00E166A7">
        <w:t>stado</w:t>
      </w:r>
      <w:r w:rsidR="00644739" w:rsidRPr="00E166A7">
        <w:t>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44739" w:rsidP="00E166A7">
      <w:pPr>
        <w:ind w:firstLine="567"/>
        <w:jc w:val="both"/>
      </w:pPr>
      <w:r w:rsidRPr="00E166A7">
        <w:t>§ 1º.</w:t>
      </w:r>
      <w:r w:rsidR="0060017E" w:rsidRPr="00E166A7">
        <w:t xml:space="preserve"> </w:t>
      </w:r>
      <w:r w:rsidRPr="00E166A7">
        <w:t>O</w:t>
      </w:r>
      <w:r w:rsidR="0060017E" w:rsidRPr="00E166A7">
        <w:t xml:space="preserve"> benefício somente se aplica às operações de saídas promovidas pelo estabelecime</w:t>
      </w:r>
      <w:r w:rsidRPr="00E166A7">
        <w:t xml:space="preserve">nto </w:t>
      </w:r>
      <w:proofErr w:type="spellStart"/>
      <w:r w:rsidRPr="00E166A7">
        <w:t>industrializador</w:t>
      </w:r>
      <w:proofErr w:type="spellEnd"/>
      <w:r w:rsidRPr="00E166A7">
        <w:t xml:space="preserve"> do produto.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44739" w:rsidP="00E166A7">
      <w:pPr>
        <w:ind w:firstLine="567"/>
        <w:jc w:val="both"/>
      </w:pPr>
      <w:r w:rsidRPr="00E166A7">
        <w:t>§ 2º. O</w:t>
      </w:r>
      <w:r w:rsidR="0060017E" w:rsidRPr="00E166A7">
        <w:t xml:space="preserve"> benefício não se aplica às saídas com suspensão do imp</w:t>
      </w:r>
      <w:r w:rsidRPr="00E166A7">
        <w:t>osto e às saídas não tributadas.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44739" w:rsidP="00E166A7">
      <w:pPr>
        <w:ind w:firstLine="567"/>
        <w:jc w:val="both"/>
      </w:pPr>
      <w:r w:rsidRPr="00E166A7">
        <w:t>§ 3º. A</w:t>
      </w:r>
      <w:r w:rsidR="0060017E" w:rsidRPr="00E166A7">
        <w:t xml:space="preserve"> opção pelo benefício implica a vedação do aproveitamento de quaisquer outros créditos relativos à entrada d</w:t>
      </w:r>
      <w:r w:rsidRPr="00E166A7">
        <w:t>e mercadorias, bens ou serviços.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44739" w:rsidP="00E166A7">
      <w:pPr>
        <w:ind w:firstLine="567"/>
        <w:jc w:val="both"/>
      </w:pPr>
      <w:r w:rsidRPr="00E166A7">
        <w:t>§ 4º. É</w:t>
      </w:r>
      <w:r w:rsidR="0060017E" w:rsidRPr="00E166A7">
        <w:t xml:space="preserve"> vedada a acumulação deste benefício com qualquer outro concedido em lei estadual para o setor econômico f</w:t>
      </w:r>
      <w:r w:rsidR="00970305" w:rsidRPr="00E166A7">
        <w:t>avorecido nos termos deste artigo</w:t>
      </w:r>
      <w:r w:rsidRPr="00E166A7">
        <w:t>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44739" w:rsidP="00E166A7">
      <w:pPr>
        <w:ind w:firstLine="567"/>
        <w:jc w:val="both"/>
      </w:pPr>
      <w:r w:rsidRPr="00E166A7">
        <w:t>§ 5º. O</w:t>
      </w:r>
      <w:r w:rsidR="0060017E" w:rsidRPr="00E166A7">
        <w:t xml:space="preserve"> disposto neste artigo fica condicionado a</w:t>
      </w:r>
      <w:r w:rsidR="002D409F" w:rsidRPr="00E166A7">
        <w:t>o contribuinte</w:t>
      </w:r>
      <w:r w:rsidR="0060017E" w:rsidRPr="00E166A7">
        <w:t xml:space="preserve"> regularmente inscrito no Cadastro de Contribuintes do ICMS de Rondônia</w:t>
      </w:r>
      <w:r w:rsidR="002D409F" w:rsidRPr="00E166A7">
        <w:t xml:space="preserve"> que</w:t>
      </w:r>
      <w:r w:rsidR="0060017E" w:rsidRPr="00E166A7">
        <w:t>:</w:t>
      </w:r>
    </w:p>
    <w:p w:rsidR="006E1FC3" w:rsidRPr="00E166A7" w:rsidRDefault="006E1FC3" w:rsidP="00E166A7">
      <w:pPr>
        <w:ind w:firstLine="567"/>
        <w:jc w:val="both"/>
        <w:rPr>
          <w:highlight w:val="yellow"/>
        </w:rPr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lastRenderedPageBreak/>
        <w:t>I -</w:t>
      </w:r>
      <w:r w:rsidR="006E1FC3" w:rsidRPr="00E166A7">
        <w:t xml:space="preserve"> </w:t>
      </w:r>
      <w:r w:rsidR="0060017E" w:rsidRPr="00E166A7">
        <w:t xml:space="preserve">comprove o cadastramento e credenciamento no </w:t>
      </w:r>
      <w:r w:rsidRPr="00E166A7">
        <w:t>P</w:t>
      </w:r>
      <w:r w:rsidR="0060017E" w:rsidRPr="00E166A7">
        <w:t xml:space="preserve">rograma de Incentivo à Industrialização do Café </w:t>
      </w:r>
      <w:r w:rsidR="00D722D1" w:rsidRPr="00E166A7">
        <w:t>em</w:t>
      </w:r>
      <w:r w:rsidR="0060017E" w:rsidRPr="00E166A7">
        <w:t xml:space="preserve"> Rondônia </w:t>
      </w:r>
      <w:r w:rsidR="00D7321E" w:rsidRPr="00E166A7">
        <w:t>-</w:t>
      </w:r>
      <w:r w:rsidR="0060017E" w:rsidRPr="00E166A7">
        <w:t xml:space="preserve"> PROCAFÉ</w:t>
      </w:r>
      <w:r w:rsidR="00D7321E" w:rsidRPr="00E166A7">
        <w:t>-</w:t>
      </w:r>
      <w:r w:rsidR="0060017E" w:rsidRPr="00E166A7">
        <w:t xml:space="preserve">Indústria, da </w:t>
      </w:r>
      <w:r w:rsidR="00F82726" w:rsidRPr="00E166A7">
        <w:t>Secretaria de Estado da Agricultura - SEAGRI</w:t>
      </w:r>
      <w:r w:rsidR="0060017E" w:rsidRPr="00E166A7">
        <w:t>;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t>II -</w:t>
      </w:r>
      <w:r w:rsidR="006E1FC3" w:rsidRPr="00E166A7">
        <w:t xml:space="preserve"> </w:t>
      </w:r>
      <w:r w:rsidR="0060017E" w:rsidRPr="00E166A7">
        <w:t>exerça, perante a Coordenadoria da Receita Estadual, a opção formal pelo benefício, em su</w:t>
      </w:r>
      <w:r w:rsidR="00970305" w:rsidRPr="00E166A7">
        <w:t>bstituição ao Regime Normal de T</w:t>
      </w:r>
      <w:r w:rsidR="0060017E" w:rsidRPr="00E166A7">
        <w:t xml:space="preserve">ributação, mediante assinatura de </w:t>
      </w:r>
      <w:r w:rsidR="00F82726" w:rsidRPr="00E166A7">
        <w:t>T</w:t>
      </w:r>
      <w:r w:rsidR="0060017E" w:rsidRPr="00E166A7">
        <w:t>ermo de Acordo consignada no livro de Registro de Utilização de Documentos Fiscais e Termos de Ocorrências de cada estabelecimento, sendo irretratável por todo o ano calendário e vedada sua utilização de forma alternada dentro do mesmo exercício fiscal;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t>III -</w:t>
      </w:r>
      <w:r w:rsidR="006E1FC3" w:rsidRPr="00E166A7">
        <w:t xml:space="preserve"> </w:t>
      </w:r>
      <w:r w:rsidR="0060017E" w:rsidRPr="00E166A7">
        <w:t xml:space="preserve">não possua nenhum débito vencido e não pago relativo a tributos administrados pela Coordenadoria da Receita Estadual, inscrito ou não em </w:t>
      </w:r>
      <w:r w:rsidR="00970305" w:rsidRPr="00E166A7">
        <w:t xml:space="preserve">Dívida Ativa </w:t>
      </w:r>
      <w:r w:rsidR="0060017E" w:rsidRPr="00E166A7">
        <w:t>do Estado, inclusive ajuizado, exceto o parcelado;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t>IV -</w:t>
      </w:r>
      <w:r w:rsidR="006E1FC3" w:rsidRPr="00E166A7">
        <w:t xml:space="preserve"> </w:t>
      </w:r>
      <w:r w:rsidR="0060017E" w:rsidRPr="00E166A7">
        <w:t>não possua pendências na entrega do arquivo eletrônico de registros fiscais das operações e prestações previstas no Capítulo III</w:t>
      </w:r>
      <w:r w:rsidRPr="00E166A7">
        <w:t xml:space="preserve">, </w:t>
      </w:r>
      <w:r w:rsidR="0060017E" w:rsidRPr="00E166A7">
        <w:t xml:space="preserve">do Título VI do </w:t>
      </w:r>
      <w:r w:rsidR="00F82726" w:rsidRPr="00E166A7">
        <w:t>Decreto nº 8.321, de 30 de abril de 1998</w:t>
      </w:r>
      <w:r w:rsidR="0060017E" w:rsidRPr="00E166A7">
        <w:t xml:space="preserve">; 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t>V -</w:t>
      </w:r>
      <w:r w:rsidR="006E1FC3" w:rsidRPr="00E166A7">
        <w:t xml:space="preserve"> </w:t>
      </w:r>
      <w:r w:rsidR="0060017E" w:rsidRPr="00E166A7">
        <w:t>não possua pendências na entrega da</w:t>
      </w:r>
      <w:r w:rsidR="00F82726" w:rsidRPr="00E166A7">
        <w:t xml:space="preserve"> Guia de Informação e Apuração Mensal -</w:t>
      </w:r>
      <w:r w:rsidR="0060017E" w:rsidRPr="00E166A7">
        <w:t xml:space="preserve"> GIAM; </w:t>
      </w:r>
      <w:proofErr w:type="gramStart"/>
      <w:r w:rsidR="0060017E" w:rsidRPr="00E166A7">
        <w:t>e</w:t>
      </w:r>
      <w:proofErr w:type="gramEnd"/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t>VI -</w:t>
      </w:r>
      <w:r w:rsidR="006E1FC3" w:rsidRPr="00E166A7">
        <w:t xml:space="preserve"> </w:t>
      </w:r>
      <w:r w:rsidR="0060017E" w:rsidRPr="00E166A7">
        <w:t xml:space="preserve">recolha, como contribuição para o Fundo de Apoio à Cultura do Café no Estado de Rondônia </w:t>
      </w:r>
      <w:r w:rsidR="00D7321E" w:rsidRPr="00E166A7">
        <w:t>-</w:t>
      </w:r>
      <w:r w:rsidR="0060017E" w:rsidRPr="00E166A7">
        <w:t xml:space="preserve"> FUNCAFÉ, até o 15º (décimo quinto) dia do mês subsequente ao da saída dos produtos beneficiados, o valor equivalente a 10% (dez por cento) do crédito presumido efetivamente utilizado no período</w:t>
      </w:r>
      <w:r w:rsidR="00F82726" w:rsidRPr="00E166A7">
        <w:t>.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t>§ 6º.</w:t>
      </w:r>
      <w:r w:rsidR="00345C11">
        <w:t xml:space="preserve"> O</w:t>
      </w:r>
      <w:bookmarkStart w:id="0" w:name="_GoBack"/>
      <w:bookmarkEnd w:id="0"/>
      <w:r w:rsidR="00D722D1" w:rsidRPr="00E166A7">
        <w:t xml:space="preserve"> cadastramento que trata o inciso I do § 5º</w:t>
      </w:r>
      <w:r w:rsidR="00970305" w:rsidRPr="00E166A7">
        <w:t xml:space="preserve"> deste artigo</w:t>
      </w:r>
      <w:r w:rsidR="0060017E" w:rsidRPr="00E166A7">
        <w:t xml:space="preserve"> será </w:t>
      </w:r>
      <w:r w:rsidR="005D7E27" w:rsidRPr="00E166A7">
        <w:t>formalizado</w:t>
      </w:r>
      <w:r w:rsidR="0060017E" w:rsidRPr="00E166A7">
        <w:t xml:space="preserve"> </w:t>
      </w:r>
      <w:r w:rsidR="00087B47" w:rsidRPr="00E166A7">
        <w:t>mediante</w:t>
      </w:r>
      <w:r w:rsidR="0060017E" w:rsidRPr="00E166A7">
        <w:t xml:space="preserve"> requerimento endereçado ao Secretário de Estado da </w:t>
      </w:r>
      <w:r w:rsidR="005732F9" w:rsidRPr="00E166A7">
        <w:t>Agricultura</w:t>
      </w:r>
      <w:r w:rsidR="0060017E" w:rsidRPr="00E166A7">
        <w:t>, acompanhando de: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D7321E" w:rsidRPr="00E166A7" w:rsidRDefault="00644739" w:rsidP="00E166A7">
      <w:pPr>
        <w:pStyle w:val="PargrafodaLista"/>
        <w:ind w:left="0" w:firstLine="567"/>
        <w:jc w:val="both"/>
      </w:pPr>
      <w:r w:rsidRPr="00E166A7">
        <w:t>I -</w:t>
      </w:r>
      <w:r w:rsidR="006E1FC3" w:rsidRPr="00E166A7">
        <w:t xml:space="preserve"> </w:t>
      </w:r>
      <w:r w:rsidR="00087B47" w:rsidRPr="00E166A7">
        <w:t xml:space="preserve">cópia de inscrição no Cadastro Nacional de Pessoas Jurídicas - </w:t>
      </w:r>
      <w:r w:rsidR="0060017E" w:rsidRPr="00E166A7">
        <w:t>CNPJ</w:t>
      </w:r>
      <w:r w:rsidR="008D4218" w:rsidRPr="00E166A7">
        <w:t>,</w:t>
      </w:r>
      <w:r w:rsidR="0060017E" w:rsidRPr="00E166A7">
        <w:t xml:space="preserve"> Inscrição Estadual</w:t>
      </w:r>
      <w:r w:rsidR="008D4218" w:rsidRPr="00E166A7">
        <w:t>, Contrato Social e documentos do representante ou procurador da empresa</w:t>
      </w:r>
      <w:r w:rsidR="0060017E" w:rsidRPr="00E166A7">
        <w:t>;</w:t>
      </w:r>
      <w:r w:rsidR="00087B47" w:rsidRPr="00E166A7">
        <w:t xml:space="preserve"> </w:t>
      </w:r>
      <w:proofErr w:type="gramStart"/>
      <w:r w:rsidR="00087B47" w:rsidRPr="00E166A7">
        <w:t>e</w:t>
      </w:r>
      <w:proofErr w:type="gramEnd"/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44739" w:rsidP="00E166A7">
      <w:pPr>
        <w:pStyle w:val="PargrafodaLista"/>
        <w:ind w:left="0" w:firstLine="567"/>
        <w:jc w:val="both"/>
      </w:pPr>
      <w:r w:rsidRPr="00E166A7">
        <w:t>II -</w:t>
      </w:r>
      <w:r w:rsidR="006E1FC3" w:rsidRPr="00E166A7">
        <w:t xml:space="preserve"> </w:t>
      </w:r>
      <w:r w:rsidR="00970305" w:rsidRPr="00E166A7">
        <w:t xml:space="preserve">Certidões Negativas </w:t>
      </w:r>
      <w:r w:rsidR="0060017E" w:rsidRPr="00E166A7">
        <w:t>de tributos estaduais, federais</w:t>
      </w:r>
      <w:r w:rsidR="008D4218" w:rsidRPr="00E166A7">
        <w:t>,</w:t>
      </w:r>
      <w:r w:rsidR="0060017E" w:rsidRPr="00E166A7">
        <w:t xml:space="preserve"> municipais</w:t>
      </w:r>
      <w:r w:rsidR="008D4218" w:rsidRPr="00E166A7">
        <w:t xml:space="preserve">, </w:t>
      </w:r>
      <w:proofErr w:type="gramStart"/>
      <w:r w:rsidR="008D4218" w:rsidRPr="00E166A7">
        <w:t>trabalhista</w:t>
      </w:r>
      <w:r w:rsidR="00970305" w:rsidRPr="00E166A7">
        <w:t>s</w:t>
      </w:r>
      <w:r w:rsidR="008D4218" w:rsidRPr="00E166A7">
        <w:t xml:space="preserve"> e </w:t>
      </w:r>
      <w:r w:rsidR="00970305" w:rsidRPr="00E166A7">
        <w:t>Fundo de Garantia do Tempo de Serviço</w:t>
      </w:r>
      <w:proofErr w:type="gramEnd"/>
      <w:r w:rsidR="00970305" w:rsidRPr="00E166A7">
        <w:t xml:space="preserve"> - </w:t>
      </w:r>
      <w:r w:rsidR="008D4218" w:rsidRPr="00E166A7">
        <w:t>FGTS.</w:t>
      </w:r>
    </w:p>
    <w:p w:rsidR="00D7321E" w:rsidRPr="00E166A7" w:rsidRDefault="00D7321E" w:rsidP="00E166A7">
      <w:pPr>
        <w:ind w:firstLine="567"/>
        <w:jc w:val="both"/>
      </w:pPr>
    </w:p>
    <w:p w:rsidR="008D4218" w:rsidRPr="00E166A7" w:rsidRDefault="00644739" w:rsidP="00E166A7">
      <w:pPr>
        <w:ind w:firstLine="567"/>
        <w:jc w:val="both"/>
      </w:pPr>
      <w:r w:rsidRPr="00E166A7">
        <w:t>§ 7º.</w:t>
      </w:r>
      <w:r w:rsidR="00040805">
        <w:t xml:space="preserve"> P</w:t>
      </w:r>
      <w:r w:rsidR="0060017E" w:rsidRPr="00E166A7">
        <w:t xml:space="preserve">rotocolada a solicitação, será encaminhada </w:t>
      </w:r>
      <w:r w:rsidR="00040805">
        <w:t xml:space="preserve">à </w:t>
      </w:r>
      <w:r w:rsidR="00087B47" w:rsidRPr="00E166A7">
        <w:t xml:space="preserve">Gerência de Agricultura </w:t>
      </w:r>
      <w:r w:rsidR="0060017E" w:rsidRPr="00E166A7">
        <w:t xml:space="preserve">para </w:t>
      </w:r>
      <w:r w:rsidR="008D4218" w:rsidRPr="00E166A7">
        <w:t>análise e</w:t>
      </w:r>
      <w:r w:rsidR="0060017E" w:rsidRPr="00E166A7">
        <w:t xml:space="preserve"> expedição do documento comprobatório de cadastramento.</w:t>
      </w:r>
    </w:p>
    <w:p w:rsidR="00D7321E" w:rsidRPr="00E166A7" w:rsidRDefault="00D7321E" w:rsidP="00E166A7">
      <w:pPr>
        <w:ind w:firstLine="567"/>
        <w:jc w:val="both"/>
      </w:pPr>
    </w:p>
    <w:p w:rsidR="00637DB8" w:rsidRPr="00E166A7" w:rsidRDefault="00644739" w:rsidP="00E166A7">
      <w:pPr>
        <w:ind w:firstLine="567"/>
        <w:jc w:val="both"/>
      </w:pPr>
      <w:r w:rsidRPr="00E166A7">
        <w:t>§ 8º.</w:t>
      </w:r>
      <w:r w:rsidR="008451BA" w:rsidRPr="00E166A7">
        <w:t xml:space="preserve"> A Coordenadoria da Receita Estadual baixará Instrução Normativa com a finalidade de </w:t>
      </w:r>
      <w:r w:rsidR="00637DB8" w:rsidRPr="00E166A7">
        <w:t xml:space="preserve">regulamentar </w:t>
      </w:r>
      <w:proofErr w:type="gramStart"/>
      <w:r w:rsidR="00637DB8" w:rsidRPr="00E166A7">
        <w:t>a</w:t>
      </w:r>
      <w:proofErr w:type="gramEnd"/>
      <w:r w:rsidR="00637DB8" w:rsidRPr="00E166A7">
        <w:t xml:space="preserve"> formalização dos atos </w:t>
      </w:r>
      <w:r w:rsidR="005732F9" w:rsidRPr="00E166A7">
        <w:t xml:space="preserve">necessários </w:t>
      </w:r>
      <w:r w:rsidR="00970305" w:rsidRPr="00E166A7">
        <w:t>à</w:t>
      </w:r>
      <w:r w:rsidR="005732F9" w:rsidRPr="00E166A7">
        <w:t xml:space="preserve"> adesão ao PROCAFÉ</w:t>
      </w:r>
      <w:r w:rsidR="00D7321E" w:rsidRPr="00E166A7">
        <w:t>-</w:t>
      </w:r>
      <w:r w:rsidR="00637DB8" w:rsidRPr="00E166A7">
        <w:t xml:space="preserve">Indústria, que não estejam </w:t>
      </w:r>
      <w:r w:rsidR="00970305" w:rsidRPr="00E166A7">
        <w:t>estabelecidos</w:t>
      </w:r>
      <w:r w:rsidR="00637DB8" w:rsidRPr="00E166A7">
        <w:t xml:space="preserve"> n</w:t>
      </w:r>
      <w:r w:rsidR="005732F9" w:rsidRPr="00E166A7">
        <w:t>este Decreto, e a instituição de m</w:t>
      </w:r>
      <w:r w:rsidR="00637DB8" w:rsidRPr="00E166A7">
        <w:t>odelo do Termo d</w:t>
      </w:r>
      <w:r w:rsidR="00970305" w:rsidRPr="00E166A7">
        <w:t>e Acordo previsto na alínea “b”</w:t>
      </w:r>
      <w:r w:rsidR="00087B47" w:rsidRPr="00E166A7">
        <w:t xml:space="preserve"> </w:t>
      </w:r>
      <w:r w:rsidR="00637DB8" w:rsidRPr="00E166A7">
        <w:t xml:space="preserve">do inciso V do artigo 3º da Lei </w:t>
      </w:r>
      <w:r w:rsidR="008451BA" w:rsidRPr="00E166A7">
        <w:t>nº 2</w:t>
      </w:r>
      <w:r w:rsidR="005D7E27" w:rsidRPr="00E166A7">
        <w:t>.</w:t>
      </w:r>
      <w:r w:rsidR="008451BA" w:rsidRPr="00E166A7">
        <w:t>030, de 2009</w:t>
      </w:r>
      <w:r w:rsidR="00637DB8" w:rsidRPr="00E166A7">
        <w:t>.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A8411F" w:rsidP="00E166A7">
      <w:pPr>
        <w:pStyle w:val="PargrafodaLista"/>
        <w:ind w:left="0" w:firstLine="567"/>
        <w:jc w:val="both"/>
      </w:pPr>
      <w:r>
        <w:t>Art. 6</w:t>
      </w:r>
      <w:r w:rsidR="0060017E" w:rsidRPr="00E166A7">
        <w:t>º. O FUNCAFÉ é vinculado à SEAGRI e será admi</w:t>
      </w:r>
      <w:r w:rsidR="00970305" w:rsidRPr="00E166A7">
        <w:t>nistrado por um Conselho Gestor</w:t>
      </w:r>
      <w:r w:rsidR="0060017E" w:rsidRPr="00E166A7">
        <w:t xml:space="preserve"> cujo </w:t>
      </w:r>
      <w:r w:rsidR="00087B47" w:rsidRPr="00E166A7">
        <w:t>Presidente e Vice-P</w:t>
      </w:r>
      <w:r w:rsidR="0060017E" w:rsidRPr="00E166A7">
        <w:t xml:space="preserve">residente, respectivamente, </w:t>
      </w:r>
      <w:r w:rsidR="00107492" w:rsidRPr="00E166A7">
        <w:t>s</w:t>
      </w:r>
      <w:r w:rsidR="00087B47" w:rsidRPr="00E166A7">
        <w:t>er</w:t>
      </w:r>
      <w:r w:rsidR="00107492" w:rsidRPr="00E166A7">
        <w:t xml:space="preserve">ão </w:t>
      </w:r>
      <w:r w:rsidR="0060017E" w:rsidRPr="00E166A7">
        <w:t>o Secretário de Estado e o Secretário de Estado</w:t>
      </w:r>
      <w:r w:rsidR="00087B47" w:rsidRPr="00E166A7">
        <w:t xml:space="preserve"> da Agricultura e seu</w:t>
      </w:r>
      <w:r w:rsidR="0060017E" w:rsidRPr="00E166A7">
        <w:t xml:space="preserve"> Adjunto, </w:t>
      </w:r>
      <w:r w:rsidR="00087B47" w:rsidRPr="00E166A7">
        <w:t>contendo</w:t>
      </w:r>
      <w:r w:rsidR="0060017E" w:rsidRPr="00E166A7">
        <w:t xml:space="preserve">, ainda, representante titular e </w:t>
      </w:r>
      <w:r w:rsidR="00087B47" w:rsidRPr="00E166A7">
        <w:t>suplente</w:t>
      </w:r>
      <w:r w:rsidR="004F4A8C">
        <w:t>,</w:t>
      </w:r>
      <w:r w:rsidR="00970305" w:rsidRPr="00E166A7">
        <w:t xml:space="preserve"> indicados pela</w:t>
      </w:r>
      <w:r w:rsidR="0060017E" w:rsidRPr="00E166A7">
        <w:t xml:space="preserve"> Sec</w:t>
      </w:r>
      <w:r w:rsidR="00087B47" w:rsidRPr="00E166A7">
        <w:t>retaria de Estado de Finanças - SEFIN</w:t>
      </w:r>
      <w:r w:rsidR="0060017E" w:rsidRPr="00E166A7">
        <w:t>, Sindicato das Indústrias de Café do Estado de Rondônia</w:t>
      </w:r>
      <w:r w:rsidR="00087B47" w:rsidRPr="00E166A7">
        <w:t xml:space="preserve"> - SINDICAFÉ</w:t>
      </w:r>
      <w:r w:rsidR="0060017E" w:rsidRPr="00E166A7">
        <w:t xml:space="preserve"> e Federação dos Trabalhadores na Agricultura de Rondônia</w:t>
      </w:r>
      <w:r w:rsidR="00087B47" w:rsidRPr="00E166A7">
        <w:t xml:space="preserve"> - FETAGRO</w:t>
      </w:r>
      <w:r w:rsidR="0060017E" w:rsidRPr="00E166A7">
        <w:t>.</w:t>
      </w:r>
    </w:p>
    <w:p w:rsidR="000522BA" w:rsidRPr="00E166A7" w:rsidRDefault="000522BA" w:rsidP="00E166A7">
      <w:pPr>
        <w:pStyle w:val="PargrafodaLista"/>
        <w:ind w:left="0" w:firstLine="567"/>
        <w:jc w:val="both"/>
      </w:pPr>
    </w:p>
    <w:p w:rsidR="0060017E" w:rsidRPr="00E166A7" w:rsidRDefault="002D409F" w:rsidP="00E166A7">
      <w:pPr>
        <w:pStyle w:val="PargrafodaLista"/>
        <w:ind w:left="0" w:firstLine="567"/>
        <w:jc w:val="both"/>
      </w:pPr>
      <w:r w:rsidRPr="00E166A7">
        <w:t>§ 1</w:t>
      </w:r>
      <w:r w:rsidR="0060017E" w:rsidRPr="00E166A7">
        <w:t xml:space="preserve">º. O Conselho Gestor escolherá dentre seus membros, com exceção do </w:t>
      </w:r>
      <w:r w:rsidR="00087B47" w:rsidRPr="00E166A7">
        <w:t>P</w:t>
      </w:r>
      <w:r w:rsidR="0060017E" w:rsidRPr="00E166A7">
        <w:t xml:space="preserve">residente e </w:t>
      </w:r>
      <w:r w:rsidR="00087B47" w:rsidRPr="00E166A7">
        <w:t>V</w:t>
      </w:r>
      <w:r w:rsidR="0060017E" w:rsidRPr="00E166A7">
        <w:t>ice</w:t>
      </w:r>
      <w:r w:rsidR="00087B47" w:rsidRPr="00E166A7">
        <w:t>-Presidente</w:t>
      </w:r>
      <w:r w:rsidR="005732F9" w:rsidRPr="00E166A7">
        <w:t>, o Secretário E</w:t>
      </w:r>
      <w:r w:rsidR="0060017E" w:rsidRPr="00E166A7">
        <w:t>xecutivo.</w:t>
      </w:r>
    </w:p>
    <w:p w:rsidR="00087B47" w:rsidRPr="00E166A7" w:rsidRDefault="00087B47" w:rsidP="00E166A7">
      <w:pPr>
        <w:pStyle w:val="PargrafodaLista"/>
        <w:ind w:left="0" w:firstLine="567"/>
        <w:jc w:val="both"/>
      </w:pPr>
    </w:p>
    <w:p w:rsidR="0060017E" w:rsidRPr="00E166A7" w:rsidRDefault="002D409F" w:rsidP="00E166A7">
      <w:pPr>
        <w:pStyle w:val="PargrafodaLista"/>
        <w:ind w:left="0" w:firstLine="567"/>
        <w:jc w:val="both"/>
      </w:pPr>
      <w:r w:rsidRPr="00E166A7">
        <w:t>§ 2</w:t>
      </w:r>
      <w:r w:rsidR="00087B47" w:rsidRPr="00E166A7">
        <w:t xml:space="preserve">º. O Conselho Gestor </w:t>
      </w:r>
      <w:proofErr w:type="gramStart"/>
      <w:r w:rsidR="00087B47" w:rsidRPr="00E166A7">
        <w:t>aprovará,</w:t>
      </w:r>
      <w:proofErr w:type="gramEnd"/>
      <w:r w:rsidR="00087B47" w:rsidRPr="00E166A7">
        <w:t xml:space="preserve"> no que couber,</w:t>
      </w:r>
      <w:r w:rsidR="0060017E" w:rsidRPr="00E166A7">
        <w:t xml:space="preserve"> seu Regimento Interno.</w:t>
      </w:r>
    </w:p>
    <w:p w:rsidR="00E166A7" w:rsidRPr="00E166A7" w:rsidRDefault="00E166A7" w:rsidP="00E166A7">
      <w:pPr>
        <w:pStyle w:val="PargrafodaLista"/>
        <w:ind w:left="0" w:firstLine="567"/>
        <w:jc w:val="both"/>
      </w:pPr>
    </w:p>
    <w:p w:rsidR="0060017E" w:rsidRPr="00E166A7" w:rsidRDefault="002A2DDE" w:rsidP="00E166A7">
      <w:pPr>
        <w:ind w:firstLine="567"/>
        <w:jc w:val="both"/>
      </w:pPr>
      <w:r>
        <w:t>Art. 7</w:t>
      </w:r>
      <w:r w:rsidR="005732F9" w:rsidRPr="00E166A7">
        <w:t>º. Cabe ao</w:t>
      </w:r>
      <w:r w:rsidR="0060017E" w:rsidRPr="00E166A7">
        <w:t xml:space="preserve"> Conselho Gestor:</w:t>
      </w:r>
    </w:p>
    <w:p w:rsidR="00D7321E" w:rsidRPr="00E166A7" w:rsidRDefault="00D7321E" w:rsidP="00E166A7">
      <w:pPr>
        <w:ind w:firstLine="567"/>
        <w:jc w:val="both"/>
      </w:pPr>
    </w:p>
    <w:p w:rsidR="00D7321E" w:rsidRPr="00E166A7" w:rsidRDefault="00D7321E" w:rsidP="00E166A7">
      <w:pPr>
        <w:ind w:firstLine="567"/>
        <w:jc w:val="both"/>
      </w:pPr>
      <w:r w:rsidRPr="00E166A7">
        <w:t xml:space="preserve">I </w:t>
      </w:r>
      <w:r w:rsidR="0060017E" w:rsidRPr="00E166A7">
        <w:t>- definir normas, procedimentos e condições operacionais em relação ao funcionamento do Fundo;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rPr>
          <w:noProof/>
        </w:rPr>
        <w:drawing>
          <wp:anchor distT="0" distB="0" distL="114300" distR="114300" simplePos="0" relativeHeight="251657216" behindDoc="0" locked="0" layoutInCell="1" allowOverlap="0" wp14:anchorId="27BBF0E0" wp14:editId="70148ED9">
            <wp:simplePos x="0" y="0"/>
            <wp:positionH relativeFrom="page">
              <wp:posOffset>7232904</wp:posOffset>
            </wp:positionH>
            <wp:positionV relativeFrom="page">
              <wp:posOffset>5061204</wp:posOffset>
            </wp:positionV>
            <wp:extent cx="4572" cy="4572"/>
            <wp:effectExtent l="0" t="0" r="0" b="0"/>
            <wp:wrapSquare wrapText="bothSides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21E" w:rsidRPr="00E166A7">
        <w:rPr>
          <w:noProof/>
        </w:rPr>
        <w:t>II -</w:t>
      </w:r>
      <w:r w:rsidR="006D65C4" w:rsidRPr="00E166A7">
        <w:rPr>
          <w:noProof/>
        </w:rPr>
        <w:t xml:space="preserve"> emitir</w:t>
      </w:r>
      <w:r w:rsidRPr="00E166A7">
        <w:t xml:space="preserve"> protocolos, resoluções e outros atos necessários à efetivação das medidas deliberadas pela Câmara Setorial;</w:t>
      </w:r>
    </w:p>
    <w:p w:rsidR="00D7321E" w:rsidRPr="00E166A7" w:rsidRDefault="00345C11" w:rsidP="00E166A7">
      <w:pPr>
        <w:ind w:firstLine="567"/>
        <w:jc w:val="both"/>
      </w:pPr>
      <w:r>
        <w:pict>
          <v:shape id="_x0000_i1031" type="#_x0000_t75" style="width:.65pt;height:.65pt;visibility:visible;mso-wrap-style:square">
            <v:imagedata r:id="rId11" o:title=""/>
          </v:shape>
        </w:pict>
      </w:r>
    </w:p>
    <w:p w:rsidR="0060017E" w:rsidRPr="00E166A7" w:rsidRDefault="0060017E" w:rsidP="00E166A7">
      <w:pPr>
        <w:ind w:firstLine="567"/>
        <w:jc w:val="both"/>
      </w:pPr>
      <w:r w:rsidRPr="00E166A7">
        <w:t>III - expedir atos para formalizar medidas necessárias ao desenvolvimento dos trabalhos;</w:t>
      </w:r>
    </w:p>
    <w:p w:rsidR="00D7321E" w:rsidRPr="00E166A7" w:rsidRDefault="00345C11" w:rsidP="00E166A7">
      <w:pPr>
        <w:ind w:firstLine="567"/>
        <w:jc w:val="both"/>
      </w:pPr>
      <w:r>
        <w:pict>
          <v:shape id="_x0000_i1032" type="#_x0000_t75" style="width:.65pt;height:.65pt;visibility:visible;mso-wrap-style:square">
            <v:imagedata r:id="rId12" o:title=""/>
          </v:shape>
        </w:pict>
      </w:r>
    </w:p>
    <w:p w:rsidR="0060017E" w:rsidRPr="00E166A7" w:rsidRDefault="0060017E" w:rsidP="00E166A7">
      <w:pPr>
        <w:ind w:firstLine="567"/>
        <w:jc w:val="both"/>
      </w:pPr>
      <w:r w:rsidRPr="00E166A7">
        <w:t xml:space="preserve">IV - manter contato permanente junto ao agente financeiro do Fundo visando o registro e o controle </w:t>
      </w:r>
      <w:r w:rsidRPr="00E166A7">
        <w:rPr>
          <w:noProof/>
        </w:rPr>
        <w:drawing>
          <wp:inline distT="0" distB="0" distL="0" distR="0" wp14:anchorId="4F50BF84" wp14:editId="67D003BE">
            <wp:extent cx="4572" cy="9144"/>
            <wp:effectExtent l="0" t="0" r="0" b="0"/>
            <wp:docPr id="4334" name="Picture 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" name="Picture 43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6A7">
        <w:t>de todas as fases das aplicações e operações relativas à destinação de seus recursos;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V - </w:t>
      </w:r>
      <w:r w:rsidR="005732F9" w:rsidRPr="00E166A7">
        <w:t>preparar</w:t>
      </w:r>
      <w:r w:rsidRPr="00E166A7">
        <w:t xml:space="preserve"> relatório sobre cada projeto analisado</w:t>
      </w:r>
      <w:r w:rsidR="00237B52" w:rsidRPr="00E166A7">
        <w:t>, devendo apresentar seu parecer</w:t>
      </w:r>
      <w:r w:rsidRPr="00E166A7">
        <w:t xml:space="preserve"> no prazo de </w:t>
      </w:r>
      <w:r w:rsidRPr="00E166A7">
        <w:rPr>
          <w:noProof/>
        </w:rPr>
        <w:drawing>
          <wp:inline distT="0" distB="0" distL="0" distR="0" wp14:anchorId="322C733B" wp14:editId="6E4D64CA">
            <wp:extent cx="4572" cy="4573"/>
            <wp:effectExtent l="0" t="0" r="0" b="0"/>
            <wp:docPr id="4335" name="Picture 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" name="Picture 43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6A7">
        <w:t xml:space="preserve">30 (trinta) dias do registro no protocolo da Câmara Setorial do Café; </w:t>
      </w:r>
      <w:proofErr w:type="gramStart"/>
      <w:r w:rsidRPr="00E166A7">
        <w:t>e</w:t>
      </w:r>
      <w:proofErr w:type="gramEnd"/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VI - elaborar contrato com o agente financeiro </w:t>
      </w:r>
      <w:r w:rsidR="005732F9" w:rsidRPr="00E166A7">
        <w:t>a fim de</w:t>
      </w:r>
      <w:r w:rsidRPr="00E166A7">
        <w:t xml:space="preserve"> estabelecer as condições operacionais, </w:t>
      </w:r>
      <w:r w:rsidRPr="00E166A7">
        <w:rPr>
          <w:noProof/>
        </w:rPr>
        <w:drawing>
          <wp:inline distT="0" distB="0" distL="0" distR="0" wp14:anchorId="0C4E0954" wp14:editId="28C88028">
            <wp:extent cx="4572" cy="27432"/>
            <wp:effectExtent l="0" t="0" r="0" b="0"/>
            <wp:docPr id="12194" name="Picture 1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" name="Picture 121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6A7">
        <w:t>co</w:t>
      </w:r>
      <w:r w:rsidR="00FD6FF0">
        <w:t>ntábeis</w:t>
      </w:r>
      <w:r w:rsidRPr="00E166A7">
        <w:t xml:space="preserve"> </w:t>
      </w:r>
      <w:r w:rsidR="00E166A7" w:rsidRPr="00E166A7">
        <w:t xml:space="preserve">e </w:t>
      </w:r>
      <w:r w:rsidRPr="00E166A7">
        <w:t>de prestação de contas do Fundo.</w:t>
      </w:r>
    </w:p>
    <w:p w:rsidR="00D7321E" w:rsidRPr="00E166A7" w:rsidRDefault="00D7321E" w:rsidP="00E166A7">
      <w:pPr>
        <w:pStyle w:val="PargrafodaLista"/>
        <w:ind w:left="567"/>
        <w:jc w:val="both"/>
      </w:pPr>
    </w:p>
    <w:p w:rsidR="0060017E" w:rsidRPr="00E166A7" w:rsidRDefault="0060017E" w:rsidP="00E166A7">
      <w:pPr>
        <w:pStyle w:val="PargrafodaLista"/>
        <w:ind w:left="0" w:firstLine="567"/>
        <w:jc w:val="both"/>
      </w:pPr>
      <w:r w:rsidRPr="00E166A7">
        <w:t>Art.</w:t>
      </w:r>
      <w:r w:rsidR="002A2DDE">
        <w:t xml:space="preserve"> 8</w:t>
      </w:r>
      <w:r w:rsidRPr="00E166A7">
        <w:t xml:space="preserve">º. A aplicação dos recursos do FUNCAFÉ dar-se-á após deliberação </w:t>
      </w:r>
      <w:r w:rsidR="00473424">
        <w:t xml:space="preserve">do </w:t>
      </w:r>
      <w:r w:rsidR="00473424" w:rsidRPr="00DD245B">
        <w:t>Conselho Gestor do Fundo</w:t>
      </w:r>
      <w:r w:rsidRPr="00E166A7">
        <w:t>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Parágrafo único. </w:t>
      </w:r>
      <w:r w:rsidR="00237B52" w:rsidRPr="00E166A7">
        <w:t>É</w:t>
      </w:r>
      <w:r w:rsidRPr="00E166A7">
        <w:t xml:space="preserve"> vedada a aplicação dos recursos financeiros do FUNCAFÉ para outras finalidades que não as previstas neste Regulamento.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A</w:t>
      </w:r>
      <w:r w:rsidR="002A2DDE">
        <w:t>rt. 9</w:t>
      </w:r>
      <w:r w:rsidR="00237B52" w:rsidRPr="00E166A7">
        <w:t>º. São receitas do FUNCAFÉ</w:t>
      </w:r>
      <w:r w:rsidRPr="00E166A7">
        <w:t>:</w:t>
      </w:r>
    </w:p>
    <w:p w:rsidR="00D7321E" w:rsidRPr="00E166A7" w:rsidRDefault="0060017E" w:rsidP="00E166A7">
      <w:pPr>
        <w:ind w:firstLine="567"/>
        <w:jc w:val="both"/>
      </w:pPr>
      <w:r w:rsidRPr="00E166A7">
        <w:rPr>
          <w:noProof/>
        </w:rPr>
        <w:drawing>
          <wp:anchor distT="0" distB="0" distL="114300" distR="114300" simplePos="0" relativeHeight="251654144" behindDoc="0" locked="0" layoutInCell="1" allowOverlap="0" wp14:anchorId="13DD8FFE" wp14:editId="35E9C1B1">
            <wp:simplePos x="0" y="0"/>
            <wp:positionH relativeFrom="page">
              <wp:posOffset>7237476</wp:posOffset>
            </wp:positionH>
            <wp:positionV relativeFrom="page">
              <wp:posOffset>7178040</wp:posOffset>
            </wp:positionV>
            <wp:extent cx="4572" cy="4572"/>
            <wp:effectExtent l="0" t="0" r="0" b="0"/>
            <wp:wrapSquare wrapText="bothSides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6A7">
        <w:rPr>
          <w:noProof/>
        </w:rPr>
        <w:drawing>
          <wp:inline distT="0" distB="0" distL="0" distR="0" wp14:anchorId="63B8628A" wp14:editId="33A92DA9">
            <wp:extent cx="4572" cy="96012"/>
            <wp:effectExtent l="0" t="0" r="0" b="0"/>
            <wp:docPr id="12186" name="Picture 1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" name="Picture 121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7E" w:rsidRPr="00E166A7" w:rsidRDefault="0060017E" w:rsidP="00E166A7">
      <w:pPr>
        <w:ind w:firstLine="567"/>
        <w:jc w:val="both"/>
      </w:pPr>
      <w:r w:rsidRPr="00E166A7">
        <w:t>I - valores recolhidos em conformidade com o parágrafo ú</w:t>
      </w:r>
      <w:r w:rsidR="00E166A7" w:rsidRPr="00E166A7">
        <w:t>nico, incisos I e II do artigo 4º</w:t>
      </w:r>
      <w:r w:rsidRPr="00E166A7">
        <w:rPr>
          <w:vertAlign w:val="superscript"/>
        </w:rPr>
        <w:t xml:space="preserve"> </w:t>
      </w:r>
      <w:r w:rsidR="00E166A7" w:rsidRPr="00E166A7">
        <w:t xml:space="preserve">da Lei nº </w:t>
      </w:r>
      <w:r w:rsidRPr="00E166A7">
        <w:t>2</w:t>
      </w:r>
      <w:r w:rsidR="00107492" w:rsidRPr="00E166A7">
        <w:t>.</w:t>
      </w:r>
      <w:r w:rsidRPr="00E166A7">
        <w:t xml:space="preserve">030, de </w:t>
      </w:r>
      <w:r w:rsidRPr="00E166A7">
        <w:rPr>
          <w:noProof/>
        </w:rPr>
        <w:drawing>
          <wp:inline distT="0" distB="0" distL="0" distR="0" wp14:anchorId="7C498AF3" wp14:editId="2C649553">
            <wp:extent cx="4572" cy="4572"/>
            <wp:effectExtent l="0" t="0" r="0" b="0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6A7">
        <w:t>2009;</w:t>
      </w:r>
    </w:p>
    <w:p w:rsidR="00D7321E" w:rsidRPr="00E166A7" w:rsidRDefault="00345C11" w:rsidP="00E166A7">
      <w:pPr>
        <w:ind w:firstLine="567"/>
        <w:jc w:val="both"/>
      </w:pPr>
      <w:r>
        <w:pict>
          <v:shape id="_x0000_i1033" type="#_x0000_t75" style="width:.65pt;height:.65pt;visibility:visible;mso-wrap-style:square">
            <v:imagedata r:id="rId19" o:title=""/>
          </v:shape>
        </w:pict>
      </w:r>
    </w:p>
    <w:p w:rsidR="0060017E" w:rsidRPr="00E166A7" w:rsidRDefault="0060017E" w:rsidP="00E166A7">
      <w:pPr>
        <w:ind w:firstLine="567"/>
        <w:jc w:val="both"/>
      </w:pPr>
      <w:r w:rsidRPr="00E166A7">
        <w:t>II - contribuições e doações de produtores, ind</w:t>
      </w:r>
      <w:r w:rsidR="00B71246" w:rsidRPr="00E166A7">
        <w:t>ú</w:t>
      </w:r>
      <w:r w:rsidRPr="00E166A7">
        <w:t>strias e comerciantes;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III - dotações orçamentárias do </w:t>
      </w:r>
      <w:r w:rsidR="005732F9" w:rsidRPr="00E166A7">
        <w:t xml:space="preserve">Poder Público no âmbito </w:t>
      </w:r>
      <w:r w:rsidR="00E166A7" w:rsidRPr="00E166A7">
        <w:t>federal, estadual e municipal</w:t>
      </w:r>
      <w:r w:rsidRPr="00E166A7">
        <w:t>;</w:t>
      </w:r>
    </w:p>
    <w:p w:rsidR="00D7321E" w:rsidRPr="00E166A7" w:rsidRDefault="00345C11" w:rsidP="00E166A7">
      <w:pPr>
        <w:ind w:firstLine="567"/>
        <w:jc w:val="both"/>
      </w:pPr>
      <w:r>
        <w:pict>
          <v:shape id="_x0000_i1034" type="#_x0000_t75" style="width:.65pt;height:.65pt;visibility:visible;mso-wrap-style:square">
            <v:imagedata r:id="rId20" o:title=""/>
          </v:shape>
        </w:pict>
      </w:r>
    </w:p>
    <w:p w:rsidR="0060017E" w:rsidRPr="00E166A7" w:rsidRDefault="0060017E" w:rsidP="00E166A7">
      <w:pPr>
        <w:ind w:firstLine="567"/>
        <w:jc w:val="both"/>
      </w:pPr>
      <w:r w:rsidRPr="00E166A7">
        <w:t>IV - recursos provenientes de convênios nacionais e internacionais;</w:t>
      </w:r>
    </w:p>
    <w:p w:rsidR="00D7321E" w:rsidRPr="00E166A7" w:rsidRDefault="00345C11" w:rsidP="00E166A7">
      <w:pPr>
        <w:ind w:firstLine="567"/>
        <w:jc w:val="both"/>
      </w:pPr>
      <w:r>
        <w:pict>
          <v:shape id="_x0000_i1035" type="#_x0000_t75" style="width:.65pt;height:.65pt;visibility:visible;mso-wrap-style:square">
            <v:imagedata r:id="rId21" o:title=""/>
          </v:shape>
        </w:pict>
      </w:r>
    </w:p>
    <w:p w:rsidR="0060017E" w:rsidRPr="00E166A7" w:rsidRDefault="0060017E" w:rsidP="00E166A7">
      <w:pPr>
        <w:ind w:firstLine="567"/>
        <w:jc w:val="both"/>
      </w:pPr>
      <w:r w:rsidRPr="00E166A7">
        <w:t>V - juros e correções monetárias resultantes de aplicações no mercado financeiro;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V</w:t>
      </w:r>
      <w:r w:rsidR="00E166A7" w:rsidRPr="00E166A7">
        <w:t xml:space="preserve">I - </w:t>
      </w:r>
      <w:r w:rsidRPr="00E166A7">
        <w:t xml:space="preserve">recursos provenientes da extinção do </w:t>
      </w:r>
      <w:r w:rsidR="0009346C" w:rsidRPr="00E166A7">
        <w:t>Fundo de Desenvolvimento Agropecuário e Florestal - FUNDAGRI</w:t>
      </w:r>
      <w:r w:rsidRPr="00E166A7">
        <w:t xml:space="preserve">, </w:t>
      </w:r>
      <w:proofErr w:type="gramStart"/>
      <w:r w:rsidRPr="00E166A7">
        <w:t>e</w:t>
      </w:r>
      <w:proofErr w:type="gramEnd"/>
    </w:p>
    <w:p w:rsidR="00D7321E" w:rsidRPr="00E166A7" w:rsidRDefault="00345C11" w:rsidP="00E166A7">
      <w:pPr>
        <w:ind w:firstLine="567"/>
        <w:jc w:val="both"/>
      </w:pPr>
      <w:r>
        <w:pict>
          <v:shape id="_x0000_i1036" type="#_x0000_t75" style="width:.65pt;height:.65pt;visibility:visible;mso-wrap-style:square">
            <v:imagedata r:id="rId22" o:title=""/>
          </v:shape>
        </w:pict>
      </w:r>
    </w:p>
    <w:p w:rsidR="0060017E" w:rsidRPr="00E166A7" w:rsidRDefault="0060017E" w:rsidP="00E166A7">
      <w:pPr>
        <w:ind w:firstLine="567"/>
        <w:jc w:val="both"/>
      </w:pPr>
      <w:r w:rsidRPr="00E166A7">
        <w:t>VII - outras receitas de origens diversas.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2A2DDE" w:rsidP="00E166A7">
      <w:pPr>
        <w:ind w:firstLine="567"/>
        <w:jc w:val="both"/>
      </w:pPr>
      <w:r>
        <w:t>Art. 10</w:t>
      </w:r>
      <w:r w:rsidR="006D65C4" w:rsidRPr="00E166A7">
        <w:t xml:space="preserve">. Constituem despesas do Fundo as </w:t>
      </w:r>
      <w:r w:rsidR="0060017E" w:rsidRPr="00E166A7">
        <w:t xml:space="preserve">relacionadas na execução das atividades previstas </w:t>
      </w:r>
      <w:r w:rsidR="008D062E" w:rsidRPr="00E166A7">
        <w:t>neste D</w:t>
      </w:r>
      <w:r w:rsidR="006D65C4" w:rsidRPr="00E166A7">
        <w:t>ecreto.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2A2DDE" w:rsidP="00E166A7">
      <w:pPr>
        <w:ind w:firstLine="567"/>
        <w:jc w:val="both"/>
      </w:pPr>
      <w:r>
        <w:t>Art. 11</w:t>
      </w:r>
      <w:r w:rsidR="0060017E" w:rsidRPr="00E166A7">
        <w:t>. Os recursos financeiros provenientes de dotações orçament</w:t>
      </w:r>
      <w:r w:rsidR="0009346C" w:rsidRPr="00E166A7">
        <w:t>árias serão repassados ao Fundo</w:t>
      </w:r>
      <w:r w:rsidR="0060017E" w:rsidRPr="00E166A7">
        <w:t xml:space="preserve"> pela </w:t>
      </w:r>
      <w:r w:rsidR="008D062E" w:rsidRPr="00E166A7">
        <w:t>SEFIN</w:t>
      </w:r>
      <w:r w:rsidR="00E166A7" w:rsidRPr="00E166A7">
        <w:t>,</w:t>
      </w:r>
      <w:r w:rsidR="0060017E" w:rsidRPr="00E166A7">
        <w:t xml:space="preserve"> de acordo com o previsto no Plano Plurianual e </w:t>
      </w:r>
      <w:r w:rsidR="00E166A7" w:rsidRPr="00E166A7">
        <w:t>n</w:t>
      </w:r>
      <w:r w:rsidR="0060017E" w:rsidRPr="00E166A7">
        <w:t>a Lei de Diretrizes Orçamentárias</w:t>
      </w:r>
      <w:r w:rsidR="00E166A7" w:rsidRPr="00E166A7">
        <w:t xml:space="preserve"> - LDO</w:t>
      </w:r>
      <w:r w:rsidR="0060017E" w:rsidRPr="00E166A7">
        <w:t>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2A2DDE" w:rsidP="00E166A7">
      <w:pPr>
        <w:ind w:firstLine="567"/>
        <w:jc w:val="both"/>
      </w:pPr>
      <w:r>
        <w:t>Art. 12</w:t>
      </w:r>
      <w:r w:rsidR="0060017E" w:rsidRPr="00E166A7">
        <w:t xml:space="preserve">. A execução orçamentária, financeira, patrimonial e contábil do Fundo será realizada exclusivamente no </w:t>
      </w:r>
      <w:r w:rsidR="005E72BE" w:rsidRPr="00E166A7">
        <w:t>Sistema de Administração Financeira para Estados e Municípios de Rondônia - SIAFEM/RO</w:t>
      </w:r>
      <w:r w:rsidR="0060017E" w:rsidRPr="00E166A7">
        <w:t>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Art. 1</w:t>
      </w:r>
      <w:r w:rsidR="002A2DDE">
        <w:t>3</w:t>
      </w:r>
      <w:r w:rsidRPr="00E166A7">
        <w:t xml:space="preserve">. A ordenação de despesa será procedida mediante a aposição das assinaturas do Presidente do Conselho Gestor e outro representante escolhido pelo </w:t>
      </w:r>
      <w:r w:rsidR="00E166A7" w:rsidRPr="00E166A7">
        <w:t xml:space="preserve">próprio </w:t>
      </w:r>
      <w:r w:rsidRPr="00E166A7">
        <w:t>Conselho.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 xml:space="preserve">Parágrafo único. Caberá ao Conselho Gestor a prestação de contas do Fundo junto ao órgão </w:t>
      </w:r>
      <w:r w:rsidRPr="00E166A7">
        <w:rPr>
          <w:noProof/>
        </w:rPr>
        <w:drawing>
          <wp:inline distT="0" distB="0" distL="0" distR="0" wp14:anchorId="3F3C5D8A" wp14:editId="09DD3DCB">
            <wp:extent cx="4572" cy="4572"/>
            <wp:effectExtent l="0" t="0" r="0" b="0"/>
            <wp:docPr id="4325" name="Picture 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" name="Picture 43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6A7">
        <w:t>competente.</w:t>
      </w:r>
      <w:r w:rsidRPr="00E166A7">
        <w:rPr>
          <w:noProof/>
        </w:rPr>
        <w:drawing>
          <wp:inline distT="0" distB="0" distL="0" distR="0" wp14:anchorId="0798533D" wp14:editId="79BE115D">
            <wp:extent cx="4572" cy="4572"/>
            <wp:effectExtent l="0" t="0" r="0" b="0"/>
            <wp:docPr id="4326" name="Picture 4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" name="Picture 43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1E" w:rsidRPr="00E166A7" w:rsidRDefault="00D7321E" w:rsidP="00E166A7">
      <w:pPr>
        <w:ind w:right="2981" w:firstLine="567"/>
        <w:jc w:val="both"/>
      </w:pPr>
    </w:p>
    <w:p w:rsidR="0060017E" w:rsidRPr="00E166A7" w:rsidRDefault="0060017E" w:rsidP="00E166A7">
      <w:pPr>
        <w:ind w:right="2981" w:firstLine="567"/>
        <w:jc w:val="both"/>
      </w:pPr>
      <w:r w:rsidRPr="00E166A7">
        <w:t>Art. 1</w:t>
      </w:r>
      <w:r w:rsidR="002A2DDE">
        <w:t>4</w:t>
      </w:r>
      <w:r w:rsidRPr="00E166A7">
        <w:t xml:space="preserve">. </w:t>
      </w:r>
      <w:r w:rsidR="0009346C" w:rsidRPr="00E166A7">
        <w:t>Compete</w:t>
      </w:r>
      <w:r w:rsidRPr="00E166A7">
        <w:t xml:space="preserve"> à Câmara Setorial do Café:</w:t>
      </w:r>
    </w:p>
    <w:p w:rsidR="00D7321E" w:rsidRPr="00E166A7" w:rsidRDefault="00D7321E" w:rsidP="00E166A7">
      <w:pPr>
        <w:ind w:right="2981" w:firstLine="567"/>
        <w:jc w:val="both"/>
      </w:pPr>
    </w:p>
    <w:p w:rsidR="0060017E" w:rsidRPr="00E166A7" w:rsidRDefault="00473424" w:rsidP="00473424">
      <w:pPr>
        <w:ind w:firstLine="567"/>
        <w:jc w:val="both"/>
      </w:pPr>
      <w:r>
        <w:t xml:space="preserve">I </w:t>
      </w:r>
      <w:r w:rsidR="0060017E" w:rsidRPr="00E166A7">
        <w:t>- deliberar sobre as diretrizes e prioridades para aplicação dos recursos do Fundo, elaborando notas contendo informaçõe</w:t>
      </w:r>
      <w:r w:rsidR="0009346C" w:rsidRPr="00E166A7">
        <w:t>s técnicas a serem apresentadas</w:t>
      </w:r>
      <w:r w:rsidR="0060017E" w:rsidRPr="00E166A7">
        <w:t xml:space="preserve"> como subsídios aos seus membros;</w:t>
      </w:r>
      <w:r w:rsidR="0060017E" w:rsidRPr="00E166A7">
        <w:rPr>
          <w:noProof/>
        </w:rPr>
        <w:drawing>
          <wp:inline distT="0" distB="0" distL="0" distR="0" wp14:anchorId="19F32611" wp14:editId="20081A3E">
            <wp:extent cx="4573" cy="27432"/>
            <wp:effectExtent l="0" t="0" r="0" b="0"/>
            <wp:docPr id="12196" name="Picture 1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6" name="Picture 121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1E" w:rsidRPr="00E166A7" w:rsidRDefault="00D7321E" w:rsidP="00E166A7">
      <w:pPr>
        <w:ind w:left="567"/>
        <w:jc w:val="both"/>
      </w:pPr>
    </w:p>
    <w:p w:rsidR="0060017E" w:rsidRPr="00E166A7" w:rsidRDefault="002D409F" w:rsidP="00E166A7">
      <w:pPr>
        <w:ind w:firstLine="567"/>
        <w:jc w:val="both"/>
      </w:pPr>
      <w:r w:rsidRPr="00E166A7">
        <w:t xml:space="preserve">II </w:t>
      </w:r>
      <w:r w:rsidR="0060017E" w:rsidRPr="00E166A7">
        <w:t xml:space="preserve">- verificar a adequabilidade dos projetos </w:t>
      </w:r>
      <w:r w:rsidR="005E72BE" w:rsidRPr="00E166A7">
        <w:t>quanto à política de incentivos ao desenvolvimento;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2D409F" w:rsidP="00E166A7">
      <w:pPr>
        <w:ind w:firstLine="567"/>
        <w:jc w:val="both"/>
      </w:pPr>
      <w:r w:rsidRPr="00E166A7">
        <w:t>III</w:t>
      </w:r>
      <w:r w:rsidR="0060017E" w:rsidRPr="00E166A7">
        <w:t xml:space="preserve"> - analisar a viabilidade econômico-financeira, social e ambiental dos projetos encaminhados e submetidos a seu exame;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IV -</w:t>
      </w:r>
      <w:r w:rsidRPr="00E166A7">
        <w:rPr>
          <w:noProof/>
        </w:rPr>
        <w:drawing>
          <wp:inline distT="0" distB="0" distL="0" distR="0" wp14:anchorId="595BA3FB" wp14:editId="2BAEC195">
            <wp:extent cx="9144" cy="64008"/>
            <wp:effectExtent l="0" t="0" r="0" b="0"/>
            <wp:docPr id="12198" name="Picture 1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8" name="Picture 121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424" w:rsidRPr="00473424">
        <w:t xml:space="preserve"> </w:t>
      </w:r>
      <w:r w:rsidR="00473424" w:rsidRPr="00E166A7">
        <w:t>aprovar os projetos a serem executados nos termos deste Regulamento</w:t>
      </w:r>
      <w:r w:rsidR="00473424">
        <w:t>;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V -</w:t>
      </w:r>
      <w:r w:rsidR="00473424">
        <w:t xml:space="preserve"> </w:t>
      </w:r>
      <w:r w:rsidR="00473424" w:rsidRPr="00E166A7">
        <w:t xml:space="preserve">indicar providências para compatibilização das aplicações com as ações do PROCAFÉ-Indústria; </w:t>
      </w:r>
      <w:proofErr w:type="gramStart"/>
      <w:r w:rsidR="00473424" w:rsidRPr="00E166A7">
        <w:t>e</w:t>
      </w:r>
      <w:proofErr w:type="gramEnd"/>
    </w:p>
    <w:p w:rsidR="00D7321E" w:rsidRPr="00E166A7" w:rsidRDefault="00D7321E" w:rsidP="00E166A7">
      <w:pPr>
        <w:ind w:firstLine="567"/>
        <w:jc w:val="both"/>
      </w:pPr>
    </w:p>
    <w:p w:rsidR="00D7321E" w:rsidRDefault="0060017E" w:rsidP="00473424">
      <w:pPr>
        <w:ind w:firstLine="567"/>
        <w:jc w:val="both"/>
      </w:pPr>
      <w:r w:rsidRPr="00E166A7">
        <w:t xml:space="preserve">VI - </w:t>
      </w:r>
      <w:r w:rsidR="00473424" w:rsidRPr="00E166A7">
        <w:t>avaliar os resultados obtidos.</w:t>
      </w:r>
    </w:p>
    <w:p w:rsidR="00473424" w:rsidRPr="00E166A7" w:rsidRDefault="00473424" w:rsidP="00473424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Art. 1</w:t>
      </w:r>
      <w:r w:rsidR="002A2DDE">
        <w:t>5</w:t>
      </w:r>
      <w:r w:rsidRPr="00E166A7">
        <w:t xml:space="preserve">. O FUNCAFÉ terá como agente financeiro operador </w:t>
      </w:r>
      <w:r w:rsidR="00064498">
        <w:t xml:space="preserve">a </w:t>
      </w:r>
      <w:r w:rsidRPr="00E166A7">
        <w:t>agência de fomento, instituição financeira e/ou cooperativas de crédito devidamente cred</w:t>
      </w:r>
      <w:r w:rsidR="00E166A7" w:rsidRPr="00E166A7">
        <w:t>enciadas junto ao Banco Central</w:t>
      </w:r>
      <w:r w:rsidRPr="00E166A7">
        <w:t xml:space="preserve"> cujas competências serão definidas por </w:t>
      </w:r>
      <w:r w:rsidR="000E3D1A" w:rsidRPr="00E166A7">
        <w:t>r</w:t>
      </w:r>
      <w:r w:rsidRPr="00E166A7">
        <w:t>esolução do Conselho Gestor.</w:t>
      </w:r>
    </w:p>
    <w:p w:rsidR="002D409F" w:rsidRPr="00E166A7" w:rsidRDefault="002D409F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rPr>
          <w:noProof/>
        </w:rPr>
        <w:drawing>
          <wp:anchor distT="0" distB="0" distL="114300" distR="114300" simplePos="0" relativeHeight="251660288" behindDoc="0" locked="0" layoutInCell="1" allowOverlap="0" wp14:anchorId="6A452C18" wp14:editId="7AB9930B">
            <wp:simplePos x="0" y="0"/>
            <wp:positionH relativeFrom="page">
              <wp:posOffset>7232904</wp:posOffset>
            </wp:positionH>
            <wp:positionV relativeFrom="page">
              <wp:posOffset>5957316</wp:posOffset>
            </wp:positionV>
            <wp:extent cx="4572" cy="4572"/>
            <wp:effectExtent l="0" t="0" r="0" b="0"/>
            <wp:wrapSquare wrapText="bothSides"/>
            <wp:docPr id="6260" name="Picture 6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" name="Picture 62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6A7">
        <w:rPr>
          <w:noProof/>
        </w:rPr>
        <w:drawing>
          <wp:anchor distT="0" distB="0" distL="114300" distR="114300" simplePos="0" relativeHeight="251663360" behindDoc="0" locked="0" layoutInCell="1" allowOverlap="0" wp14:anchorId="3C4B16A4" wp14:editId="27B05EFB">
            <wp:simplePos x="0" y="0"/>
            <wp:positionH relativeFrom="page">
              <wp:posOffset>7200900</wp:posOffset>
            </wp:positionH>
            <wp:positionV relativeFrom="page">
              <wp:posOffset>192024</wp:posOffset>
            </wp:positionV>
            <wp:extent cx="4573" cy="73152"/>
            <wp:effectExtent l="0" t="0" r="0" b="0"/>
            <wp:wrapTopAndBottom/>
            <wp:docPr id="12200" name="Picture 1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0" name="Picture 122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6A7">
        <w:t>Art. 1</w:t>
      </w:r>
      <w:r w:rsidR="002A2DDE">
        <w:t>6</w:t>
      </w:r>
      <w:r w:rsidR="000E3D1A" w:rsidRPr="00E166A7">
        <w:t>. O FUNCAFÉ</w:t>
      </w:r>
      <w:r w:rsidRPr="00E166A7">
        <w:t xml:space="preserve"> terá contabilidade própria, registrando todos os atos e fatos a ele referentes, valendo-se</w:t>
      </w:r>
      <w:r w:rsidR="00064498">
        <w:t>,</w:t>
      </w:r>
      <w:r w:rsidRPr="00E166A7">
        <w:t xml:space="preserve"> para tal</w:t>
      </w:r>
      <w:r w:rsidR="00064498">
        <w:t>,</w:t>
      </w:r>
      <w:r w:rsidRPr="00E166A7">
        <w:t xml:space="preserve"> do sistema contábil da re</w:t>
      </w:r>
      <w:r w:rsidR="00064498">
        <w:t>spectiva instituição financeira</w:t>
      </w:r>
      <w:r w:rsidRPr="00E166A7">
        <w:t xml:space="preserve"> no qual deverão ser criados e mantidos substitutos específicos para esta finalidade com apuração do resultado à parte.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2A2DDE" w:rsidP="00E166A7">
      <w:pPr>
        <w:ind w:firstLine="567"/>
        <w:jc w:val="both"/>
      </w:pPr>
      <w:r>
        <w:t>Art. 17</w:t>
      </w:r>
      <w:r w:rsidR="0060017E" w:rsidRPr="00DD245B">
        <w:t xml:space="preserve">. </w:t>
      </w:r>
      <w:r w:rsidR="00B910E7" w:rsidRPr="00DD245B">
        <w:t xml:space="preserve">O agente financeiro apresentará </w:t>
      </w:r>
      <w:r w:rsidR="0060017E" w:rsidRPr="00DD245B">
        <w:t xml:space="preserve">ao Conselho Gestor relatório </w:t>
      </w:r>
      <w:r w:rsidR="0060017E" w:rsidRPr="00DD245B">
        <w:rPr>
          <w:noProof/>
        </w:rPr>
        <w:drawing>
          <wp:inline distT="0" distB="0" distL="0" distR="0" wp14:anchorId="69E22596" wp14:editId="23C8DFEF">
            <wp:extent cx="4572" cy="9144"/>
            <wp:effectExtent l="0" t="0" r="0" b="0"/>
            <wp:docPr id="6258" name="Picture 6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" name="Picture 62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17E" w:rsidRPr="00DD245B">
        <w:t>circunstanciado sobre as atividades desenvolvidas e os resultados obtidos</w:t>
      </w:r>
      <w:r w:rsidR="00B910E7" w:rsidRPr="00DD245B">
        <w:t>, bem como ao Tribunal de Contas do Estado</w:t>
      </w:r>
      <w:r w:rsidR="00064498">
        <w:t xml:space="preserve"> - TCE</w:t>
      </w:r>
      <w:r w:rsidR="00B910E7" w:rsidRPr="00DD245B">
        <w:t xml:space="preserve">, de acordo com os ditames da Lei Complementar nº 101, de </w:t>
      </w:r>
      <w:proofErr w:type="gramStart"/>
      <w:r w:rsidR="00B910E7" w:rsidRPr="00DD245B">
        <w:t>4</w:t>
      </w:r>
      <w:proofErr w:type="gramEnd"/>
      <w:r w:rsidR="00B910E7" w:rsidRPr="00DD245B">
        <w:t xml:space="preserve"> de maio de 2000</w:t>
      </w:r>
      <w:r w:rsidR="0060017E" w:rsidRPr="00DD245B">
        <w:t>.</w:t>
      </w:r>
    </w:p>
    <w:p w:rsidR="00D7321E" w:rsidRPr="00E166A7" w:rsidRDefault="00D7321E" w:rsidP="00E166A7">
      <w:pPr>
        <w:ind w:firstLine="567"/>
        <w:jc w:val="both"/>
      </w:pPr>
    </w:p>
    <w:p w:rsidR="0060017E" w:rsidRPr="00E166A7" w:rsidRDefault="0060017E" w:rsidP="00E166A7">
      <w:pPr>
        <w:ind w:firstLine="567"/>
        <w:jc w:val="both"/>
      </w:pPr>
      <w:r w:rsidRPr="00E166A7">
        <w:t>Art. 1</w:t>
      </w:r>
      <w:r w:rsidR="002A2DDE">
        <w:t>8</w:t>
      </w:r>
      <w:r w:rsidRPr="00E166A7">
        <w:t xml:space="preserve">. O Conselho Gestor baixará atos normativos </w:t>
      </w:r>
      <w:r w:rsidR="00E166A7" w:rsidRPr="00E166A7">
        <w:t>por meio</w:t>
      </w:r>
      <w:r w:rsidRPr="00E166A7">
        <w:t xml:space="preserve"> de resoluções, definindo documentos </w:t>
      </w:r>
      <w:r w:rsidRPr="00E166A7">
        <w:rPr>
          <w:noProof/>
        </w:rPr>
        <w:drawing>
          <wp:inline distT="0" distB="0" distL="0" distR="0" wp14:anchorId="5A3FEB08" wp14:editId="612866F3">
            <wp:extent cx="4572" cy="4572"/>
            <wp:effectExtent l="0" t="0" r="0" b="0"/>
            <wp:docPr id="6259" name="Picture 6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" name="Picture 62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6A7">
        <w:t>indispensáveis e estabelecendo as normas operacionais necessárias ao funcionamento do FUNCAFÉ.</w:t>
      </w:r>
    </w:p>
    <w:p w:rsidR="00D7321E" w:rsidRPr="00E166A7" w:rsidRDefault="00D7321E" w:rsidP="00E166A7">
      <w:pPr>
        <w:tabs>
          <w:tab w:val="left" w:pos="2550"/>
        </w:tabs>
      </w:pPr>
    </w:p>
    <w:p w:rsidR="0060017E" w:rsidRPr="00E166A7" w:rsidRDefault="002A2DDE" w:rsidP="00E166A7">
      <w:pPr>
        <w:ind w:firstLine="567"/>
        <w:jc w:val="both"/>
      </w:pPr>
      <w:r>
        <w:t>Art. 19</w:t>
      </w:r>
      <w:r w:rsidR="0060017E" w:rsidRPr="00E166A7">
        <w:t>. Os casos omissos serão decididos por deliberação da Câmara Setorial do Café, observados os princípios e diretrizes da Lei n</w:t>
      </w:r>
      <w:r w:rsidR="0060017E" w:rsidRPr="00E166A7">
        <w:rPr>
          <w:vertAlign w:val="superscript"/>
        </w:rPr>
        <w:t>o</w:t>
      </w:r>
      <w:r w:rsidR="00D1488B" w:rsidRPr="00E166A7">
        <w:t xml:space="preserve"> </w:t>
      </w:r>
      <w:r w:rsidR="0060017E" w:rsidRPr="00E166A7">
        <w:t>2</w:t>
      </w:r>
      <w:r w:rsidR="00E166A7" w:rsidRPr="00E166A7">
        <w:t>.</w:t>
      </w:r>
      <w:r w:rsidR="0060017E" w:rsidRPr="00E166A7">
        <w:t>030, de 2009, e das Constituições Estadual e Federal.</w:t>
      </w:r>
    </w:p>
    <w:p w:rsidR="002A2DDE" w:rsidRDefault="002A2DDE" w:rsidP="00E166A7">
      <w:pPr>
        <w:pStyle w:val="PargrafodaLista"/>
        <w:ind w:left="0" w:firstLine="567"/>
        <w:jc w:val="both"/>
      </w:pPr>
    </w:p>
    <w:p w:rsidR="0060017E" w:rsidRPr="00E166A7" w:rsidRDefault="002A2DDE" w:rsidP="00E166A7">
      <w:pPr>
        <w:pStyle w:val="PargrafodaLista"/>
        <w:ind w:left="0" w:firstLine="567"/>
        <w:jc w:val="both"/>
        <w:rPr>
          <w:strike/>
        </w:rPr>
      </w:pPr>
      <w:r>
        <w:t>Art. 20</w:t>
      </w:r>
      <w:r w:rsidR="0060017E" w:rsidRPr="00E166A7">
        <w:t>. As normas operativas e diretrizes do FUNCAFÉ poderão ser revistas sempre que fatos relevantes de caráter econômico, social, ambiental, tecnológico ou de defesa dos interesses do estado de Rondônia impliquem na sua alteração</w:t>
      </w:r>
      <w:r w:rsidR="00040D21" w:rsidRPr="00E166A7">
        <w:t>.</w:t>
      </w:r>
    </w:p>
    <w:p w:rsidR="005E72BE" w:rsidRPr="00E166A7" w:rsidRDefault="005E72BE" w:rsidP="00E166A7">
      <w:pPr>
        <w:pStyle w:val="PargrafodaLista"/>
        <w:ind w:left="0" w:firstLine="567"/>
        <w:jc w:val="both"/>
      </w:pPr>
    </w:p>
    <w:p w:rsidR="0060017E" w:rsidRPr="00E166A7" w:rsidRDefault="002A2DDE" w:rsidP="00E166A7">
      <w:pPr>
        <w:pStyle w:val="PargrafodaLista"/>
        <w:ind w:left="0" w:firstLine="567"/>
        <w:jc w:val="both"/>
      </w:pPr>
      <w:r>
        <w:t>Art. 21</w:t>
      </w:r>
      <w:r w:rsidR="0060017E" w:rsidRPr="00E166A7">
        <w:t xml:space="preserve">. </w:t>
      </w:r>
      <w:r w:rsidR="000E3D1A" w:rsidRPr="00E166A7">
        <w:t xml:space="preserve">Passam a integrar </w:t>
      </w:r>
      <w:r w:rsidR="0060017E" w:rsidRPr="00E166A7">
        <w:t>o patrimônio do FUNCAFÉ os bens, direitos e obrigações a que se refere o artigo 7º, § 2º da Lei nº 2</w:t>
      </w:r>
      <w:r w:rsidR="00E166A7" w:rsidRPr="00E166A7">
        <w:t>.</w:t>
      </w:r>
      <w:r w:rsidR="0060017E" w:rsidRPr="00E166A7">
        <w:t xml:space="preserve">030, de 2009, bem como os recursos existentes e encontrados em nome do antigo </w:t>
      </w:r>
      <w:r w:rsidR="00C775AB" w:rsidRPr="00E166A7">
        <w:t>Fundo de Desenvolvimento Agropecuário e Florestal - FUNDAGRI</w:t>
      </w:r>
      <w:r w:rsidR="0060017E" w:rsidRPr="00E166A7">
        <w:t>.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A8411F" w:rsidP="00E166A7">
      <w:pPr>
        <w:pStyle w:val="PargrafodaLista"/>
        <w:ind w:left="0" w:firstLine="567"/>
        <w:jc w:val="both"/>
      </w:pPr>
      <w:r>
        <w:t>A</w:t>
      </w:r>
      <w:r w:rsidR="002A2DDE">
        <w:t>rt. 22</w:t>
      </w:r>
      <w:r w:rsidR="0060017E" w:rsidRPr="00E166A7">
        <w:t>. O Conselho Gestor expedirá atos complementares para exe</w:t>
      </w:r>
      <w:r w:rsidR="000E3D1A" w:rsidRPr="00E166A7">
        <w:t>cução do Regulamento do FUNCAFÉ</w:t>
      </w:r>
      <w:r w:rsidR="0060017E" w:rsidRPr="00E166A7">
        <w:t xml:space="preserve"> após parecer prévio da Câmara Setorial do Café.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Pr="00E166A7" w:rsidRDefault="0060017E" w:rsidP="00E166A7">
      <w:pPr>
        <w:pStyle w:val="PargrafodaLista"/>
        <w:ind w:left="0" w:firstLine="567"/>
        <w:jc w:val="both"/>
      </w:pPr>
      <w:r w:rsidRPr="00E166A7">
        <w:t>Art. 2</w:t>
      </w:r>
      <w:r w:rsidR="002A2DDE">
        <w:t>3</w:t>
      </w:r>
      <w:r w:rsidRPr="00E166A7">
        <w:t xml:space="preserve">. Fica revogado o Decreto nº 14.947, de </w:t>
      </w:r>
      <w:proofErr w:type="gramStart"/>
      <w:r w:rsidRPr="00E166A7">
        <w:t>3</w:t>
      </w:r>
      <w:proofErr w:type="gramEnd"/>
      <w:r w:rsidRPr="00E166A7">
        <w:t xml:space="preserve"> de março de 2010.</w:t>
      </w:r>
    </w:p>
    <w:p w:rsidR="00D7321E" w:rsidRPr="00E166A7" w:rsidRDefault="00D7321E" w:rsidP="00E166A7">
      <w:pPr>
        <w:pStyle w:val="PargrafodaLista"/>
        <w:ind w:left="0" w:firstLine="567"/>
        <w:jc w:val="both"/>
      </w:pPr>
    </w:p>
    <w:p w:rsidR="0060017E" w:rsidRDefault="00A8411F" w:rsidP="00E166A7">
      <w:pPr>
        <w:pStyle w:val="PargrafodaLista"/>
        <w:ind w:left="0" w:firstLine="567"/>
        <w:jc w:val="both"/>
      </w:pPr>
      <w:r>
        <w:t xml:space="preserve">Art. </w:t>
      </w:r>
      <w:r w:rsidR="00107492" w:rsidRPr="00E166A7">
        <w:t>2</w:t>
      </w:r>
      <w:r w:rsidR="002A2DDE">
        <w:t>4</w:t>
      </w:r>
      <w:r w:rsidR="0060017E" w:rsidRPr="00E166A7">
        <w:t>. Este Decreto entra em vigor na data de sua publicação.</w:t>
      </w:r>
    </w:p>
    <w:p w:rsidR="00B83A34" w:rsidRDefault="00B83A34" w:rsidP="00E166A7">
      <w:pPr>
        <w:pStyle w:val="PargrafodaLista"/>
        <w:ind w:left="0" w:firstLine="567"/>
        <w:jc w:val="both"/>
      </w:pPr>
    </w:p>
    <w:p w:rsidR="00B83A34" w:rsidRPr="004C5EBA" w:rsidRDefault="00B83A34" w:rsidP="00B83A34">
      <w:pPr>
        <w:shd w:val="clear" w:color="auto" w:fill="FFFFFF"/>
        <w:ind w:firstLine="567"/>
        <w:jc w:val="both"/>
        <w:rPr>
          <w:color w:val="000000"/>
          <w14:ligatures w14:val="standard"/>
        </w:rPr>
      </w:pPr>
      <w:r w:rsidRPr="004C5EBA">
        <w:rPr>
          <w14:ligatures w14:val="standard"/>
        </w:rPr>
        <w:t xml:space="preserve">Palácio do </w:t>
      </w:r>
      <w:smartTag w:uri="schemas-houaiss/mini" w:element="verbetes">
        <w:r w:rsidRPr="004C5EBA">
          <w:rPr>
            <w14:ligatures w14:val="standard"/>
          </w:rPr>
          <w:t>Governo</w:t>
        </w:r>
      </w:smartTag>
      <w:r w:rsidRPr="004C5EBA">
        <w:rPr>
          <w14:ligatures w14:val="standard"/>
        </w:rPr>
        <w:t xml:space="preserve"> do </w:t>
      </w:r>
      <w:smartTag w:uri="schemas-houaiss/mini" w:element="verbetes">
        <w:r w:rsidRPr="004C5EBA">
          <w:rPr>
            <w14:ligatures w14:val="standard"/>
          </w:rPr>
          <w:t>Estado</w:t>
        </w:r>
      </w:smartTag>
      <w:r w:rsidR="003E41CA">
        <w:rPr>
          <w14:ligatures w14:val="standard"/>
        </w:rPr>
        <w:t xml:space="preserve"> de Rondônia, em</w:t>
      </w:r>
      <w:r>
        <w:rPr>
          <w14:ligatures w14:val="standard"/>
        </w:rPr>
        <w:t xml:space="preserve"> </w:t>
      </w:r>
      <w:r w:rsidR="003E41CA">
        <w:rPr>
          <w14:ligatures w14:val="standard"/>
        </w:rPr>
        <w:t xml:space="preserve">14 </w:t>
      </w:r>
      <w:r w:rsidRPr="004C5EBA">
        <w:rPr>
          <w14:ligatures w14:val="standard"/>
        </w:rPr>
        <w:t xml:space="preserve">de </w:t>
      </w:r>
      <w:r w:rsidR="00DD245B">
        <w:rPr>
          <w14:ligatures w14:val="standard"/>
        </w:rPr>
        <w:t>março</w:t>
      </w:r>
      <w:r>
        <w:rPr>
          <w14:ligatures w14:val="standard"/>
        </w:rPr>
        <w:t xml:space="preserve"> de 2018</w:t>
      </w:r>
      <w:r w:rsidRPr="004C5EBA">
        <w:rPr>
          <w14:ligatures w14:val="standard"/>
        </w:rPr>
        <w:t xml:space="preserve">, 130º da </w:t>
      </w:r>
      <w:smartTag w:uri="schemas-houaiss/mini" w:element="verbetes">
        <w:r w:rsidRPr="004C5EBA">
          <w:rPr>
            <w14:ligatures w14:val="standard"/>
          </w:rPr>
          <w:t>República</w:t>
        </w:r>
      </w:smartTag>
      <w:r w:rsidRPr="004C5EBA">
        <w:rPr>
          <w14:ligatures w14:val="standard"/>
        </w:rPr>
        <w:t>.</w:t>
      </w:r>
    </w:p>
    <w:p w:rsidR="00B83A34" w:rsidRPr="00E166A7" w:rsidRDefault="00B83A34" w:rsidP="00E166A7">
      <w:pPr>
        <w:pStyle w:val="PargrafodaLista"/>
        <w:ind w:left="0" w:firstLine="567"/>
        <w:jc w:val="both"/>
      </w:pPr>
    </w:p>
    <w:p w:rsidR="0060017E" w:rsidRPr="00E166A7" w:rsidRDefault="0060017E" w:rsidP="00E166A7">
      <w:pPr>
        <w:pStyle w:val="PargrafodaLista"/>
        <w:ind w:left="0" w:firstLine="1134"/>
        <w:jc w:val="center"/>
        <w:rPr>
          <w:b/>
        </w:rPr>
      </w:pPr>
    </w:p>
    <w:p w:rsidR="00D7321E" w:rsidRPr="007D7FC8" w:rsidRDefault="00D7321E" w:rsidP="007D7FC8">
      <w:pPr>
        <w:rPr>
          <w:b/>
        </w:rPr>
      </w:pPr>
    </w:p>
    <w:p w:rsidR="0060017E" w:rsidRPr="00E166A7" w:rsidRDefault="00D7321E" w:rsidP="00E166A7">
      <w:pPr>
        <w:pStyle w:val="PargrafodaLista"/>
        <w:ind w:left="0"/>
        <w:jc w:val="center"/>
        <w:rPr>
          <w:b/>
        </w:rPr>
      </w:pPr>
      <w:r w:rsidRPr="00E166A7">
        <w:rPr>
          <w:b/>
        </w:rPr>
        <w:t>CONFÚCIO AIRES MOURA</w:t>
      </w:r>
    </w:p>
    <w:p w:rsidR="0060017E" w:rsidRPr="00E166A7" w:rsidRDefault="0060017E" w:rsidP="00E166A7">
      <w:pPr>
        <w:pStyle w:val="PargrafodaLista"/>
        <w:ind w:left="0"/>
        <w:jc w:val="center"/>
      </w:pPr>
      <w:r w:rsidRPr="00E166A7">
        <w:t>Governador</w:t>
      </w:r>
    </w:p>
    <w:p w:rsidR="0060017E" w:rsidRPr="00E166A7" w:rsidRDefault="0060017E" w:rsidP="00E166A7">
      <w:pPr>
        <w:pStyle w:val="PargrafodaLista"/>
        <w:ind w:left="0" w:firstLine="1134"/>
        <w:jc w:val="center"/>
      </w:pPr>
    </w:p>
    <w:p w:rsidR="005D7E27" w:rsidRPr="00E166A7" w:rsidRDefault="005D7E27" w:rsidP="00E166A7">
      <w:pPr>
        <w:pStyle w:val="PargrafodaLista"/>
        <w:ind w:left="0" w:firstLine="1134"/>
      </w:pPr>
    </w:p>
    <w:p w:rsidR="0060017E" w:rsidRPr="00E166A7" w:rsidRDefault="0060017E" w:rsidP="00E166A7">
      <w:pPr>
        <w:pStyle w:val="PargrafodaLista"/>
        <w:ind w:left="0" w:firstLine="1134"/>
        <w:jc w:val="center"/>
      </w:pPr>
    </w:p>
    <w:p w:rsidR="0060017E" w:rsidRPr="00E166A7" w:rsidRDefault="0060017E" w:rsidP="00E166A7">
      <w:pPr>
        <w:pStyle w:val="PargrafodaLista"/>
        <w:ind w:left="0" w:firstLine="1134"/>
        <w:jc w:val="center"/>
      </w:pPr>
    </w:p>
    <w:p w:rsidR="00023A32" w:rsidRPr="00E166A7" w:rsidRDefault="00023A32" w:rsidP="00E166A7"/>
    <w:sectPr w:rsidR="00023A32" w:rsidRPr="00E166A7" w:rsidSect="00E80CD2">
      <w:headerReference w:type="default" r:id="rId28"/>
      <w:footerReference w:type="default" r:id="rId29"/>
      <w:pgSz w:w="11906" w:h="16838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05" w:rsidRDefault="00040805" w:rsidP="00D7321E">
      <w:r>
        <w:separator/>
      </w:r>
    </w:p>
  </w:endnote>
  <w:endnote w:type="continuationSeparator" w:id="0">
    <w:p w:rsidR="00040805" w:rsidRDefault="00040805" w:rsidP="00D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785142"/>
      <w:docPartObj>
        <w:docPartGallery w:val="Page Numbers (Bottom of Page)"/>
        <w:docPartUnique/>
      </w:docPartObj>
    </w:sdtPr>
    <w:sdtEndPr/>
    <w:sdtContent>
      <w:p w:rsidR="00040805" w:rsidRDefault="00040805" w:rsidP="000522BA">
        <w:pPr>
          <w:pStyle w:val="Rodap"/>
          <w:tabs>
            <w:tab w:val="left" w:pos="2595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5C11">
          <w:rPr>
            <w:noProof/>
          </w:rPr>
          <w:t>3</w:t>
        </w:r>
        <w:r>
          <w:fldChar w:fldCharType="end"/>
        </w:r>
      </w:p>
    </w:sdtContent>
  </w:sdt>
  <w:p w:rsidR="00040805" w:rsidRDefault="000408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05" w:rsidRDefault="00040805" w:rsidP="00D7321E">
      <w:r>
        <w:separator/>
      </w:r>
    </w:p>
  </w:footnote>
  <w:footnote w:type="continuationSeparator" w:id="0">
    <w:p w:rsidR="00040805" w:rsidRDefault="00040805" w:rsidP="00D7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05" w:rsidRPr="00153D66" w:rsidRDefault="00040805" w:rsidP="00D7321E">
    <w:pPr>
      <w:pStyle w:val="Cabealho"/>
      <w:jc w:val="center"/>
    </w:pPr>
    <w:r w:rsidRPr="00153D66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56.65pt;height:76pt" o:ole="" fillcolor="window">
          <v:imagedata r:id="rId1" o:title=""/>
        </v:shape>
        <o:OLEObject Type="Embed" ProgID="Word.Picture.8" ShapeID="_x0000_i1037" DrawAspect="Content" ObjectID="_1582611325" r:id="rId2"/>
      </w:object>
    </w:r>
  </w:p>
  <w:p w:rsidR="00040805" w:rsidRPr="00153D66" w:rsidRDefault="00040805" w:rsidP="00D7321E">
    <w:pPr>
      <w:tabs>
        <w:tab w:val="center" w:pos="4419"/>
        <w:tab w:val="right" w:pos="8838"/>
      </w:tabs>
      <w:jc w:val="center"/>
      <w:rPr>
        <w:b/>
      </w:rPr>
    </w:pPr>
    <w:r w:rsidRPr="00153D66">
      <w:rPr>
        <w:b/>
      </w:rPr>
      <w:t>GOVERNO DO ESTADO DE RONDÔNIA</w:t>
    </w:r>
  </w:p>
  <w:p w:rsidR="00040805" w:rsidRPr="00F67338" w:rsidRDefault="00040805" w:rsidP="00D7321E">
    <w:pPr>
      <w:keepNext/>
      <w:jc w:val="center"/>
      <w:outlineLvl w:val="3"/>
      <w:rPr>
        <w:b/>
      </w:rPr>
    </w:pPr>
    <w:r w:rsidRPr="00153D66">
      <w:rPr>
        <w:b/>
      </w:rPr>
      <w:t>GOVERNADORIA</w:t>
    </w:r>
  </w:p>
  <w:p w:rsidR="00040805" w:rsidRDefault="000408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5pt;height:3.35pt;visibility:visible;mso-wrap-style:square" o:bullet="t">
        <v:imagedata r:id="rId1" o:title=""/>
      </v:shape>
    </w:pict>
  </w:numPicBullet>
  <w:numPicBullet w:numPicBulletId="1">
    <w:pict>
      <v:shape id="_x0000_i1033" type="#_x0000_t75" style="width:.65pt;height:.65pt;visibility:visible;mso-wrap-style:square" o:bullet="t">
        <v:imagedata r:id="rId2" o:title=""/>
      </v:shape>
    </w:pict>
  </w:numPicBullet>
  <w:numPicBullet w:numPicBulletId="2">
    <w:pict>
      <v:shape id="_x0000_i1034" type="#_x0000_t75" style="width:.65pt;height:.65pt;visibility:visible;mso-wrap-style:square" o:bullet="t">
        <v:imagedata r:id="rId3" o:title=""/>
      </v:shape>
    </w:pict>
  </w:numPicBullet>
  <w:numPicBullet w:numPicBulletId="3">
    <w:pict>
      <v:shape id="_x0000_i1035" type="#_x0000_t75" style="width:.65pt;height:.65pt;visibility:visible;mso-wrap-style:square" o:bullet="t">
        <v:imagedata r:id="rId4" o:title=""/>
      </v:shape>
    </w:pict>
  </w:numPicBullet>
  <w:numPicBullet w:numPicBulletId="4">
    <w:pict>
      <v:shape id="_x0000_i1036" type="#_x0000_t75" style="width:.65pt;height:.65pt;visibility:visible;mso-wrap-style:square" o:bullet="t">
        <v:imagedata r:id="rId5" o:title=""/>
      </v:shape>
    </w:pict>
  </w:numPicBullet>
  <w:numPicBullet w:numPicBulletId="5">
    <w:pict>
      <v:shape id="_x0000_i1037" type="#_x0000_t75" style="width:.65pt;height:.65pt;visibility:visible;mso-wrap-style:square" o:bullet="t">
        <v:imagedata r:id="rId6" o:title=""/>
      </v:shape>
    </w:pict>
  </w:numPicBullet>
  <w:abstractNum w:abstractNumId="0">
    <w:nsid w:val="075F7D74"/>
    <w:multiLevelType w:val="hybridMultilevel"/>
    <w:tmpl w:val="2FF2E308"/>
    <w:lvl w:ilvl="0" w:tplc="63E47980">
      <w:start w:val="1"/>
      <w:numFmt w:val="upperRoman"/>
      <w:lvlText w:val="%1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62F7E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805E8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62FB8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66996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A79A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00BBA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E6422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2D772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60D8F"/>
    <w:multiLevelType w:val="hybridMultilevel"/>
    <w:tmpl w:val="943A2016"/>
    <w:lvl w:ilvl="0" w:tplc="34702A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85F51E3"/>
    <w:multiLevelType w:val="hybridMultilevel"/>
    <w:tmpl w:val="64826C70"/>
    <w:lvl w:ilvl="0" w:tplc="7A465222">
      <w:start w:val="1"/>
      <w:numFmt w:val="upperRoman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2BBD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014D8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A3B5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4BDDA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4B91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AF9B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8550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6EEE6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A973B3"/>
    <w:multiLevelType w:val="hybridMultilevel"/>
    <w:tmpl w:val="744AE02E"/>
    <w:lvl w:ilvl="0" w:tplc="255223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F3A792F"/>
    <w:multiLevelType w:val="hybridMultilevel"/>
    <w:tmpl w:val="8814F494"/>
    <w:lvl w:ilvl="0" w:tplc="FE4895F0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FB85A40"/>
    <w:multiLevelType w:val="hybridMultilevel"/>
    <w:tmpl w:val="03FE7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E"/>
    <w:rsid w:val="00011163"/>
    <w:rsid w:val="00023A32"/>
    <w:rsid w:val="00040805"/>
    <w:rsid w:val="00040D21"/>
    <w:rsid w:val="000522BA"/>
    <w:rsid w:val="00064498"/>
    <w:rsid w:val="00066BE3"/>
    <w:rsid w:val="00087B47"/>
    <w:rsid w:val="0009346C"/>
    <w:rsid w:val="000C76D6"/>
    <w:rsid w:val="000C7EBD"/>
    <w:rsid w:val="000D7A8D"/>
    <w:rsid w:val="000E3D1A"/>
    <w:rsid w:val="000E617C"/>
    <w:rsid w:val="000F3DCD"/>
    <w:rsid w:val="0010358F"/>
    <w:rsid w:val="00107492"/>
    <w:rsid w:val="001D3F29"/>
    <w:rsid w:val="002214E8"/>
    <w:rsid w:val="002260FA"/>
    <w:rsid w:val="00237B52"/>
    <w:rsid w:val="00292DC1"/>
    <w:rsid w:val="002A2DDE"/>
    <w:rsid w:val="002D409F"/>
    <w:rsid w:val="0034033F"/>
    <w:rsid w:val="003447C6"/>
    <w:rsid w:val="00345C11"/>
    <w:rsid w:val="00376A65"/>
    <w:rsid w:val="003E41CA"/>
    <w:rsid w:val="00447645"/>
    <w:rsid w:val="00457211"/>
    <w:rsid w:val="00473424"/>
    <w:rsid w:val="004F4A8C"/>
    <w:rsid w:val="0051529B"/>
    <w:rsid w:val="0053376A"/>
    <w:rsid w:val="005732F9"/>
    <w:rsid w:val="005D7E27"/>
    <w:rsid w:val="005E72BE"/>
    <w:rsid w:val="0060017E"/>
    <w:rsid w:val="00637DB8"/>
    <w:rsid w:val="00644739"/>
    <w:rsid w:val="0064495C"/>
    <w:rsid w:val="006640AC"/>
    <w:rsid w:val="006860AE"/>
    <w:rsid w:val="006A01C8"/>
    <w:rsid w:val="006B4525"/>
    <w:rsid w:val="006D65C4"/>
    <w:rsid w:val="006D7263"/>
    <w:rsid w:val="006E1FC3"/>
    <w:rsid w:val="007D4CD7"/>
    <w:rsid w:val="007D6E79"/>
    <w:rsid w:val="007D7FC8"/>
    <w:rsid w:val="007E5C8B"/>
    <w:rsid w:val="008451BA"/>
    <w:rsid w:val="008D062E"/>
    <w:rsid w:val="008D4218"/>
    <w:rsid w:val="008E1002"/>
    <w:rsid w:val="008E73D1"/>
    <w:rsid w:val="00970305"/>
    <w:rsid w:val="0098001B"/>
    <w:rsid w:val="00A42157"/>
    <w:rsid w:val="00A8411F"/>
    <w:rsid w:val="00A974A9"/>
    <w:rsid w:val="00AF1565"/>
    <w:rsid w:val="00B018A8"/>
    <w:rsid w:val="00B25B66"/>
    <w:rsid w:val="00B71246"/>
    <w:rsid w:val="00B725B3"/>
    <w:rsid w:val="00B83A34"/>
    <w:rsid w:val="00B910E7"/>
    <w:rsid w:val="00B93D96"/>
    <w:rsid w:val="00B9407F"/>
    <w:rsid w:val="00BA566D"/>
    <w:rsid w:val="00BC2710"/>
    <w:rsid w:val="00BF50AD"/>
    <w:rsid w:val="00C01F33"/>
    <w:rsid w:val="00C775AB"/>
    <w:rsid w:val="00C871F6"/>
    <w:rsid w:val="00D11780"/>
    <w:rsid w:val="00D1488B"/>
    <w:rsid w:val="00D22693"/>
    <w:rsid w:val="00D63C64"/>
    <w:rsid w:val="00D722D1"/>
    <w:rsid w:val="00D7321E"/>
    <w:rsid w:val="00D97429"/>
    <w:rsid w:val="00DB2AD3"/>
    <w:rsid w:val="00DD245B"/>
    <w:rsid w:val="00E166A7"/>
    <w:rsid w:val="00E72AB1"/>
    <w:rsid w:val="00E80CD2"/>
    <w:rsid w:val="00EA3060"/>
    <w:rsid w:val="00F82726"/>
    <w:rsid w:val="00F878A9"/>
    <w:rsid w:val="00FD4680"/>
    <w:rsid w:val="00FD6FF0"/>
    <w:rsid w:val="00FE452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1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17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2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3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2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1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17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2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3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2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13.jp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11.jpg"/><Relationship Id="rId23" Type="http://schemas.openxmlformats.org/officeDocument/2006/relationships/image" Target="media/image15.jpg"/><Relationship Id="rId28" Type="http://schemas.openxmlformats.org/officeDocument/2006/relationships/header" Target="header1.xml"/><Relationship Id="rId10" Type="http://schemas.openxmlformats.org/officeDocument/2006/relationships/image" Target="media/image8.jpg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7.jpg"/><Relationship Id="rId14" Type="http://schemas.openxmlformats.org/officeDocument/2006/relationships/image" Target="media/image10.jpg"/><Relationship Id="rId22" Type="http://schemas.openxmlformats.org/officeDocument/2006/relationships/image" Target="media/image6.jpeg"/><Relationship Id="rId27" Type="http://schemas.openxmlformats.org/officeDocument/2006/relationships/image" Target="media/image19.jp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724A-1EFF-4579-A703-CC4110F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2101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 Filipini Neves</dc:creator>
  <cp:lastModifiedBy>ElenS</cp:lastModifiedBy>
  <cp:revision>43</cp:revision>
  <cp:lastPrinted>2018-03-14T13:15:00Z</cp:lastPrinted>
  <dcterms:created xsi:type="dcterms:W3CDTF">2018-02-21T16:30:00Z</dcterms:created>
  <dcterms:modified xsi:type="dcterms:W3CDTF">2018-03-15T13:29:00Z</dcterms:modified>
</cp:coreProperties>
</file>