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77" w:rsidRPr="001C46EF" w:rsidRDefault="00C36C77" w:rsidP="00987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846F86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E3A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22.051</w:t>
      </w:r>
      <w:r w:rsidR="00846F86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D2370C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E3A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</w:t>
      </w:r>
      <w:r w:rsidR="00846F86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D2370C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</w:t>
      </w:r>
      <w:r w:rsidR="003E582C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2017.</w:t>
      </w:r>
    </w:p>
    <w:p w:rsidR="00D2370C" w:rsidRPr="001C46EF" w:rsidRDefault="00D2370C" w:rsidP="00987EC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Default="00987EC3" w:rsidP="00987EC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Autoriza a Secretaria de Estado da Educação</w:t>
      </w:r>
      <w:r w:rsidR="00201D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SEDUC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 meio da Superintendência Estadual de Gestão de Pessoas</w:t>
      </w:r>
      <w:r w:rsidR="00201D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SEGEP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realizar Processo Seletivo Simplificado para </w:t>
      </w:r>
      <w:r w:rsidR="005F00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atender à necessidade temporária de excepcional interesse público.</w:t>
      </w:r>
    </w:p>
    <w:p w:rsidR="005F0089" w:rsidRPr="001C46EF" w:rsidRDefault="005F0089" w:rsidP="00987EC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370C" w:rsidRPr="001C46EF" w:rsidRDefault="00D2370C" w:rsidP="00987EC3">
      <w:pPr>
        <w:pStyle w:val="Recuodecorpodetexto2"/>
        <w:rPr>
          <w:color w:val="000000"/>
        </w:rPr>
      </w:pPr>
      <w:r w:rsidRPr="001C46EF">
        <w:t xml:space="preserve">O GOVERNADOR DO ESTADO DE RONDÔNIA, </w:t>
      </w:r>
      <w:r w:rsidRPr="001C46EF">
        <w:rPr>
          <w:color w:val="000000"/>
        </w:rPr>
        <w:t xml:space="preserve">no uso das atribuições que lhe confere o artigo 65, inciso V, da Constituição Estadual, </w:t>
      </w:r>
      <w:r w:rsidR="00987EC3" w:rsidRPr="001C46EF">
        <w:rPr>
          <w:color w:val="000000"/>
        </w:rPr>
        <w:t>e</w:t>
      </w:r>
    </w:p>
    <w:p w:rsidR="00987EC3" w:rsidRPr="001C46EF" w:rsidRDefault="00987EC3" w:rsidP="00987EC3">
      <w:pPr>
        <w:pStyle w:val="Recuodecorpodetexto2"/>
        <w:rPr>
          <w:color w:val="000000"/>
        </w:rPr>
      </w:pPr>
    </w:p>
    <w:p w:rsidR="00987EC3" w:rsidRPr="001C46EF" w:rsidRDefault="00F31959" w:rsidP="00987EC3">
      <w:pPr>
        <w:pStyle w:val="Recuodecorpodetexto2"/>
        <w:rPr>
          <w:color w:val="000000"/>
        </w:rPr>
      </w:pPr>
      <w:r>
        <w:rPr>
          <w:color w:val="000000"/>
        </w:rPr>
        <w:t>Considerando o disposto no i</w:t>
      </w:r>
      <w:r w:rsidR="00987EC3" w:rsidRPr="001C46EF">
        <w:rPr>
          <w:color w:val="000000"/>
        </w:rPr>
        <w:t>nciso IX, do artigo 37, da Constituição Federal</w:t>
      </w:r>
      <w:r w:rsidR="00201D29">
        <w:rPr>
          <w:color w:val="000000"/>
        </w:rPr>
        <w:t xml:space="preserve"> e a Lei nº 1.184, de 27 de març</w:t>
      </w:r>
      <w:r w:rsidR="00987EC3" w:rsidRPr="001C46EF">
        <w:rPr>
          <w:color w:val="000000"/>
        </w:rPr>
        <w:t>o de 2003;</w:t>
      </w:r>
    </w:p>
    <w:p w:rsidR="00987EC3" w:rsidRPr="001C46EF" w:rsidRDefault="00987EC3" w:rsidP="00987EC3">
      <w:pPr>
        <w:pStyle w:val="Recuodecorpodetexto2"/>
        <w:rPr>
          <w:color w:val="000000"/>
        </w:rPr>
      </w:pPr>
    </w:p>
    <w:p w:rsidR="00987EC3" w:rsidRPr="001C46EF" w:rsidRDefault="00987EC3" w:rsidP="00987EC3">
      <w:pPr>
        <w:pStyle w:val="Recuodecorpodetexto2"/>
        <w:rPr>
          <w:color w:val="000000"/>
        </w:rPr>
      </w:pPr>
      <w:r w:rsidRPr="001C46EF">
        <w:rPr>
          <w:color w:val="000000"/>
        </w:rPr>
        <w:t>Considerando a Lei Complementar nº 680, de 7 de setembro de 2012 e a Lei Complementar nº 867, de 12 de abril de 2016;</w:t>
      </w:r>
    </w:p>
    <w:p w:rsidR="00987EC3" w:rsidRPr="001C46EF" w:rsidRDefault="00987EC3" w:rsidP="00987EC3">
      <w:pPr>
        <w:pStyle w:val="Recuodecorpodetexto2"/>
        <w:rPr>
          <w:color w:val="000000"/>
        </w:rPr>
      </w:pPr>
    </w:p>
    <w:p w:rsidR="00987EC3" w:rsidRPr="001C46EF" w:rsidRDefault="00987EC3" w:rsidP="00987EC3">
      <w:pPr>
        <w:pStyle w:val="Recuodecorpodetexto2"/>
        <w:rPr>
          <w:color w:val="000000"/>
        </w:rPr>
      </w:pPr>
      <w:r w:rsidRPr="001C46EF">
        <w:rPr>
          <w:color w:val="000000"/>
        </w:rPr>
        <w:t>Consider</w:t>
      </w:r>
      <w:r w:rsidR="00201D29">
        <w:rPr>
          <w:color w:val="000000"/>
        </w:rPr>
        <w:t>ando a concessão da liminar de Ação Direta de I</w:t>
      </w:r>
      <w:r w:rsidRPr="001C46EF">
        <w:rPr>
          <w:color w:val="000000"/>
        </w:rPr>
        <w:t xml:space="preserve">nconstitucionalidade, sob </w:t>
      </w:r>
      <w:r w:rsidR="00F31959">
        <w:rPr>
          <w:color w:val="000000"/>
        </w:rPr>
        <w:t xml:space="preserve">o </w:t>
      </w:r>
      <w:r w:rsidRPr="001C46EF">
        <w:rPr>
          <w:color w:val="000000"/>
        </w:rPr>
        <w:t>nº 0801183-6</w:t>
      </w:r>
      <w:r w:rsidR="005D4032">
        <w:rPr>
          <w:color w:val="000000"/>
        </w:rPr>
        <w:t>2.2015.8.22.0000, publicado no D</w:t>
      </w:r>
      <w:r w:rsidRPr="001C46EF">
        <w:rPr>
          <w:color w:val="000000"/>
        </w:rPr>
        <w:t xml:space="preserve">iário da </w:t>
      </w:r>
      <w:r w:rsidR="005D4032">
        <w:rPr>
          <w:color w:val="000000"/>
        </w:rPr>
        <w:t>J</w:t>
      </w:r>
      <w:r w:rsidRPr="001C46EF">
        <w:rPr>
          <w:color w:val="000000"/>
        </w:rPr>
        <w:t>ustiça nº 179, em 25 de setembro de 2015;</w:t>
      </w:r>
    </w:p>
    <w:p w:rsidR="00987EC3" w:rsidRPr="001C46EF" w:rsidRDefault="00987EC3" w:rsidP="00987EC3">
      <w:pPr>
        <w:pStyle w:val="Recuodecorpodetexto2"/>
        <w:rPr>
          <w:color w:val="000000"/>
        </w:rPr>
      </w:pPr>
    </w:p>
    <w:p w:rsidR="00987EC3" w:rsidRPr="001C46EF" w:rsidRDefault="00987EC3" w:rsidP="00987EC3">
      <w:pPr>
        <w:pStyle w:val="Recuodecorpodetexto2"/>
        <w:rPr>
          <w:color w:val="000000"/>
        </w:rPr>
      </w:pPr>
      <w:r w:rsidRPr="001C46EF">
        <w:rPr>
          <w:color w:val="000000"/>
        </w:rPr>
        <w:t xml:space="preserve">Considerando o Decreto nº 7.611, de 17 de novembro de 2011, </w:t>
      </w:r>
      <w:r w:rsidR="00201D29">
        <w:rPr>
          <w:color w:val="000000"/>
        </w:rPr>
        <w:t xml:space="preserve">que </w:t>
      </w:r>
      <w:r w:rsidRPr="001C46EF">
        <w:rPr>
          <w:color w:val="000000"/>
        </w:rPr>
        <w:t>dispõe sobre o atendimento educacional especializado;</w:t>
      </w:r>
    </w:p>
    <w:p w:rsidR="00987EC3" w:rsidRPr="001C46EF" w:rsidRDefault="00987EC3" w:rsidP="00987EC3">
      <w:pPr>
        <w:pStyle w:val="Recuodecorpodetexto2"/>
        <w:rPr>
          <w:color w:val="000000"/>
        </w:rPr>
      </w:pPr>
    </w:p>
    <w:p w:rsidR="00987EC3" w:rsidRPr="001C46EF" w:rsidRDefault="00987EC3" w:rsidP="00987EC3">
      <w:pPr>
        <w:pStyle w:val="Recuodecorpodetexto2"/>
        <w:rPr>
          <w:color w:val="000000"/>
        </w:rPr>
      </w:pPr>
      <w:r w:rsidRPr="001C46EF">
        <w:rPr>
          <w:color w:val="000000"/>
        </w:rPr>
        <w:t>Considerando o artigo 4º, inciso III, da Lei Complementar nº 680, de 7 de setembro de 2012; e ainda,</w:t>
      </w:r>
    </w:p>
    <w:p w:rsidR="00987EC3" w:rsidRPr="001C46EF" w:rsidRDefault="00987EC3" w:rsidP="00987EC3">
      <w:pPr>
        <w:pStyle w:val="Recuodecorpodetexto2"/>
        <w:rPr>
          <w:color w:val="000000"/>
        </w:rPr>
      </w:pPr>
    </w:p>
    <w:p w:rsidR="00987EC3" w:rsidRPr="001C46EF" w:rsidRDefault="00987EC3" w:rsidP="00987EC3">
      <w:pPr>
        <w:pStyle w:val="Recuodecorpodetexto2"/>
        <w:rPr>
          <w:color w:val="000000"/>
        </w:rPr>
      </w:pPr>
      <w:r w:rsidRPr="001C46EF">
        <w:rPr>
          <w:color w:val="000000"/>
        </w:rPr>
        <w:t>Considerando a impossibilidade momentânea de prover vagas com servidores efetivos, mister se faz a contr</w:t>
      </w:r>
      <w:r w:rsidR="00F40225">
        <w:rPr>
          <w:color w:val="000000"/>
        </w:rPr>
        <w:t xml:space="preserve">atação de Técnicos Educacionais </w:t>
      </w:r>
      <w:r w:rsidRPr="001C46EF">
        <w:rPr>
          <w:color w:val="000000"/>
        </w:rPr>
        <w:t>em caráter urgentíssimo, por meio de Processo Seletivo Simplificado, para não haver descontinuidade dos serviços educacionais,</w:t>
      </w:r>
    </w:p>
    <w:p w:rsidR="00C36C77" w:rsidRPr="001C46EF" w:rsidRDefault="00C36C77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1C46EF" w:rsidRDefault="00C36C77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C36C77" w:rsidRPr="001C46EF" w:rsidRDefault="00C36C77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 autorizada a Secretaria de Estado da Educação</w:t>
      </w:r>
      <w:r w:rsidR="00201D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SEDUC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01D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meio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Superintendência Estadual de Gestão de Pessoas</w:t>
      </w:r>
      <w:r w:rsidR="00201D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SEGEP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01D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realizar Processo Seletivo Simplificado </w:t>
      </w:r>
      <w:r w:rsidR="00F402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contratação de profissionais </w:t>
      </w:r>
      <w:r w:rsidR="00385A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emprego de Técnico Educacional Nível II/Agente de Alimentação, Técnico Educacional Nível II/Agente de Limpeza e Conservação, Técnico Educacional Nível II/Cuidador, Técnico Educacional Nível II/Revisor Cego</w:t>
      </w:r>
      <w:r w:rsidR="00201D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</w:t>
      </w:r>
      <w:r w:rsidR="00201D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écnico Educacional Nível II/Inté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rprete de Libras, </w:t>
      </w:r>
      <w:r w:rsidR="000B29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vistas a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atender necessidade temporária de excepcional interesse público, pelo prazo determinado de 1 (um) ano, prorrogável por igual período, </w:t>
      </w:r>
      <w:r w:rsidR="00201D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necessário, de acordo com o Q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uadro de </w:t>
      </w:r>
      <w:r w:rsidR="00201D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agas disposto no Anexo </w:t>
      </w:r>
      <w:r w:rsidR="00201D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Ú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nico, observadas as disposições da Constituição Federal, da Lei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Estadual nº 1184, de 27 de març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2003, deste Decreto, do Edital de Abertura de Processo Seletivo Simplificado e dos demais atos oficiais dele decorrentes.</w:t>
      </w:r>
    </w:p>
    <w:p w:rsidR="00987EC3" w:rsidRPr="001C46EF" w:rsidRDefault="00987EC3" w:rsidP="00987E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40225" w:rsidRDefault="00987EC3" w:rsidP="00987E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1º. Para não haver descontinu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idade dos serviços educacionais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será permitida a contratação temporária, desde que devidamente justificada, sendo, no atual momento, impossível prover a vaga com servidor efetivo pela S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EDUC</w:t>
      </w:r>
      <w:r w:rsidR="00F402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40225" w:rsidRDefault="00F40225" w:rsidP="00987E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2º. Os empregos autorizados por este Decreto somente serão ocupados diante da estrita necessidade de dar continuidade aos serviços educacionais.</w:t>
      </w:r>
    </w:p>
    <w:p w:rsidR="00987EC3" w:rsidRPr="001C46EF" w:rsidRDefault="00987EC3" w:rsidP="00987E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Art. 2º. O Processo Seletivo Simplificado de que trata este Decreto será conduzido p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</w:t>
      </w:r>
      <w:r w:rsidR="005F6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omissão </w:t>
      </w:r>
      <w:r w:rsidR="005F6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composta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profissionais da Educação Básica da </w:t>
      </w:r>
      <w:r w:rsidR="00B3459E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EDUC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conjunt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com profissionais lotados da G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erência de Concursos e Posses da Superintendência Estadual de Gestão de Pessoas, designados </w:t>
      </w:r>
      <w:r w:rsidR="00636B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mediante</w:t>
      </w:r>
      <w:r w:rsidR="00636B2C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Portaria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O quantitativo de vagas a que se refere o Anexo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Único,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deste Decreto, deverá ser preenchido por Técnico Educacional Nível II/Agente de Alimentação, Técnico Educacional Nível II/Agente de Limpeza e Conservação, Técnico Educacional Nível II/Cuidador, Técnico Educacional Nível II/Revisor Cego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Técnico Educacional Nível II/Int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rp</w:t>
      </w:r>
      <w:r w:rsidR="00AD1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rete de Libras, contratados por área de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atuação nas unid</w:t>
      </w:r>
      <w:r w:rsidR="00AD1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ades escolares estaduais, sob 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competência das </w:t>
      </w:r>
      <w:r w:rsidR="00AD1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respetivas 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Coordenadorias Regionais de Educação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D1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CRE</w:t>
      </w:r>
      <w:r w:rsidR="00AD1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’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1º. Poderá a Administração Pública Estadual promover o remanejamento de candidatos devidamente aprovados no </w:t>
      </w:r>
      <w:r w:rsidR="00B3459E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Processo Seletivo Simplificado 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uma localidade para outra, de acordo com a necessidade de pessoal, desde que </w:t>
      </w:r>
      <w:r w:rsidR="007403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localidade de lotação 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não </w:t>
      </w:r>
      <w:r w:rsidR="007403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haja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 efetivo para </w:t>
      </w:r>
      <w:r w:rsidR="007403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suprir a necessidade e nem 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candidato apro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vado no Processo Seletivo </w:t>
      </w:r>
      <w:r w:rsidR="008175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Simplificado 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à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quela localidade, devendo haver plena concordância do candidato.</w:t>
      </w: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Default="00B3459E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2º. </w:t>
      </w:r>
      <w:r w:rsidR="00636B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as devidas justificativas, as vagas constantes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Quadro Geral de V</w:t>
      </w:r>
      <w:r w:rsidR="00636B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agas poderão</w:t>
      </w:r>
      <w:r w:rsidR="00987EC3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sofrer remanejamento de uma Coordenadoria Regional de Educação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CRE</w:t>
      </w:r>
      <w:r w:rsidR="00987EC3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outra, desde que cessada a necessidade da vaga de origem e </w:t>
      </w:r>
      <w:r w:rsidR="00636B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observada nova necessidade em </w:t>
      </w:r>
      <w:r w:rsidR="00987EC3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outra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CRE</w:t>
      </w:r>
      <w:r w:rsidR="00636B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36B2C" w:rsidRPr="001C46EF" w:rsidRDefault="00636B2C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3º. As vagas surgidas em decorrência de candidatos desistentes ou demissionários deverão imediatamente ser providas com o próximo candidato aprovado para </w:t>
      </w:r>
      <w:r w:rsidR="00636B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localidade, desde que permaneça a necessidade.</w:t>
      </w: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4º. Os candidatos aprovados fora do quantitativo de vagas ofert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ado comporão automaticamente o Q</w:t>
      </w:r>
      <w:r w:rsidR="00B3459E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uadro Cadastro Reserva.</w:t>
      </w: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4º. O Processo Seletivo Simplificado deverá observar:</w:t>
      </w: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publicidade ao Edital de Abertura do Processo Seletivo Simplificado no Diário Oficial do Estado de Rondônia, no Portal Oficial do Governo do Estado</w:t>
      </w:r>
      <w:r w:rsidR="00A908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em jornal de grande circulação no Estado de Rondônia, bem como os demais atos dele decorrentes;</w:t>
      </w: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disponibilidade de link em portal eletrônico para a realização de inscrição </w:t>
      </w:r>
      <w:r w:rsidR="00DF68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on-line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e</w:t>
      </w: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igual critério de julgamento para todos os inscritos, respeitadas as reservas de vagas </w:t>
      </w:r>
      <w:r w:rsidR="00DF68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previstas em lei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5º. O Processo Seletivo Simplificado será constituído de 2 (duas) etapas:</w:t>
      </w: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primeira etapa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de Prova Objetiva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todos os cargos, de caráter eliminatório e classificatório;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</w:p>
    <w:p w:rsidR="00987EC3" w:rsidRPr="001C46EF" w:rsidRDefault="00987EC3" w:rsidP="00987E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Default="00987EC3" w:rsidP="00987E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segunda etapa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Prova Prática para os candidatos ao cargo de Técnico Educacional Nível II/Revisor Cego e Técnico Educacional/Interprete de Libras, de caráter eliminatório.</w:t>
      </w:r>
    </w:p>
    <w:p w:rsidR="007273FA" w:rsidRPr="001C46EF" w:rsidRDefault="007273FA" w:rsidP="00987E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6º. O resultado final do Processo Seletivo Simplificado será homologado pela Superintendência Estadual de Gestão de Pessoas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F7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071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SEGEP, sendo que 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candidatos </w:t>
      </w:r>
      <w:r w:rsidR="002071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aprovados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serão convocados por Edital, 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 acordo com </w:t>
      </w:r>
      <w:r w:rsidR="002071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quantitativos de vagas previsto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2071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publicad</w:t>
      </w:r>
      <w:r w:rsidR="002071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no Diário Oficial do Estado de Rondônia, no Portal Oficial do Estado</w:t>
      </w:r>
      <w:r w:rsidR="002071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em jornal de grande circulação no Estado de Rondônia.</w:t>
      </w:r>
    </w:p>
    <w:p w:rsidR="00987EC3" w:rsidRPr="001C46EF" w:rsidRDefault="00987EC3" w:rsidP="00987E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7º. O exercício das atividades dos profissionais Técnicos Educacionais</w:t>
      </w:r>
      <w:r w:rsidR="00F82C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caráter temporário,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iniciar-se-á imediatamente após a assinatura do </w:t>
      </w:r>
      <w:r w:rsidR="00F82C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respectivo 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contrato.</w:t>
      </w:r>
    </w:p>
    <w:p w:rsidR="00987EC3" w:rsidRPr="001C46EF" w:rsidRDefault="00987EC3" w:rsidP="00987E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8º. A contratação de profissionais de que trata este Decreto, bem como os direitos e obrigações decorrentes dos contratos celebrados est</w:t>
      </w:r>
      <w:r w:rsidR="000D57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amparad</w:t>
      </w:r>
      <w:r w:rsidR="000D57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inciso IX, do artigo 37, da Constituição Federal</w:t>
      </w:r>
      <w:r w:rsidR="000D57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E62B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pela </w:t>
      </w:r>
      <w:r w:rsidR="00E62B0B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1.184, de 27 de mar</w:t>
      </w:r>
      <w:r w:rsidR="00B345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2003.</w:t>
      </w: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9º. O salário do pessoal contratado nos termos deste Decreto será fixado em importância igual ao valor da remuneração inicial, conforme dispõe a Lei Complementar nº 867, de 12 de abril de 2016</w:t>
      </w:r>
      <w:r w:rsidR="00E938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altera a </w:t>
      </w:r>
      <w:r w:rsidR="000509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redação e acrescenta dispositivos à 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 Complementar nº 680, de 7 de setembro de 2012.</w:t>
      </w: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1º. Para os efeitos deste artigo, não se consideram as vantagens de natureza individual dos servidores ocupantes de cargos de provimento efetivo tomados como paradigma.</w:t>
      </w: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10. As despesas decorrentes da execução deste Decreto correrão </w:t>
      </w:r>
      <w:r w:rsidR="00E938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conta de dotações orçamentárias próprias previstas na Secretaria de Estado da Educação - SEDUC.</w:t>
      </w:r>
    </w:p>
    <w:p w:rsidR="00987EC3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1C46EF" w:rsidRDefault="00987EC3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11. Este Decreto entra em vigor na data de sua publicação.</w:t>
      </w:r>
    </w:p>
    <w:p w:rsidR="00C36C77" w:rsidRPr="001C46EF" w:rsidRDefault="00C36C77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1C46EF" w:rsidRDefault="00C36C77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846F86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17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28</w:t>
      </w:r>
      <w:bookmarkStart w:id="0" w:name="_GoBack"/>
      <w:bookmarkEnd w:id="0"/>
      <w:r w:rsidR="00846F86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1D45D2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</w:t>
      </w:r>
      <w:r w:rsidR="003E582C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2017, 129º da República.</w:t>
      </w:r>
    </w:p>
    <w:p w:rsidR="00C36C77" w:rsidRPr="001C46EF" w:rsidRDefault="00C36C77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1C46EF" w:rsidRDefault="00C36C77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67C8F" w:rsidRPr="001C46EF" w:rsidRDefault="00567C8F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D45D2" w:rsidRPr="001C46EF" w:rsidRDefault="001D45D2" w:rsidP="00987EC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CE229C" w:rsidRPr="001C46EF" w:rsidRDefault="001D45D2" w:rsidP="00987EC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Governador</w:t>
      </w:r>
    </w:p>
    <w:p w:rsidR="001C46EF" w:rsidRPr="001C46EF" w:rsidRDefault="001C46EF" w:rsidP="00987EC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C46EF" w:rsidRPr="001C46EF" w:rsidRDefault="001C46EF" w:rsidP="00987EC3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C46EF" w:rsidRPr="001C46EF" w:rsidSect="001C46EF">
          <w:headerReference w:type="default" r:id="rId7"/>
          <w:footerReference w:type="default" r:id="rId8"/>
          <w:pgSz w:w="11907" w:h="16840" w:code="9"/>
          <w:pgMar w:top="1134" w:right="567" w:bottom="567" w:left="1134" w:header="680" w:footer="150" w:gutter="0"/>
          <w:cols w:space="708"/>
          <w:noEndnote/>
          <w:docGrid w:linePitch="360"/>
        </w:sectPr>
      </w:pPr>
    </w:p>
    <w:p w:rsidR="001C46EF" w:rsidRPr="001C46EF" w:rsidRDefault="001C46EF" w:rsidP="001C46EF">
      <w:pPr>
        <w:jc w:val="center"/>
        <w:rPr>
          <w:rFonts w:ascii="Times New Roman" w:hAnsi="Times New Roman" w:cs="Times New Roman"/>
          <w:b/>
          <w:color w:val="000000" w:themeColor="text1"/>
          <w:sz w:val="24"/>
          <w:lang w:val="pt-PT"/>
        </w:rPr>
      </w:pPr>
      <w:r w:rsidRPr="001C46EF">
        <w:rPr>
          <w:rFonts w:ascii="Times New Roman" w:hAnsi="Times New Roman" w:cs="Times New Roman"/>
          <w:b/>
          <w:color w:val="000000" w:themeColor="text1"/>
          <w:sz w:val="24"/>
          <w:lang w:val="pt-PT"/>
        </w:rPr>
        <w:lastRenderedPageBreak/>
        <w:t>ANEXO ÚNICO - QUADRO DE VAGAS</w:t>
      </w:r>
    </w:p>
    <w:tbl>
      <w:tblPr>
        <w:tblW w:w="6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600"/>
        <w:gridCol w:w="505"/>
        <w:gridCol w:w="505"/>
        <w:gridCol w:w="600"/>
        <w:gridCol w:w="600"/>
      </w:tblGrid>
      <w:tr w:rsidR="001C46EF" w:rsidRPr="001C46EF" w:rsidTr="00295FA7">
        <w:trPr>
          <w:trHeight w:val="255"/>
          <w:tblHeader/>
          <w:jc w:val="center"/>
        </w:trPr>
        <w:tc>
          <w:tcPr>
            <w:tcW w:w="6950" w:type="dxa"/>
            <w:gridSpan w:val="6"/>
            <w:shd w:val="clear" w:color="auto" w:fill="auto"/>
            <w:noWrap/>
            <w:hideMark/>
          </w:tcPr>
          <w:p w:rsidR="001C46EF" w:rsidRPr="00283107" w:rsidRDefault="00E938D6" w:rsidP="00295F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31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TÉ</w:t>
            </w:r>
            <w:r w:rsidR="001C46EF" w:rsidRPr="002831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CNICO EDUCACIONAL - NÍVEL II</w:t>
            </w:r>
          </w:p>
        </w:tc>
      </w:tr>
      <w:tr w:rsidR="001C46EF" w:rsidRPr="001C46EF" w:rsidTr="001C46EF">
        <w:trPr>
          <w:trHeight w:val="1796"/>
          <w:tblHeader/>
          <w:jc w:val="center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LOCALIDADE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1C46EF" w:rsidRPr="001C46EF" w:rsidRDefault="00283107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INTÉ</w:t>
            </w:r>
            <w:r w:rsidR="001C46EF"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RPRETE DE LIBRAS</w:t>
            </w:r>
          </w:p>
        </w:tc>
        <w:tc>
          <w:tcPr>
            <w:tcW w:w="505" w:type="dxa"/>
            <w:shd w:val="clear" w:color="auto" w:fill="auto"/>
            <w:noWrap/>
            <w:textDirection w:val="btLr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REVISOR CEGO</w:t>
            </w:r>
          </w:p>
        </w:tc>
        <w:tc>
          <w:tcPr>
            <w:tcW w:w="505" w:type="dxa"/>
            <w:shd w:val="clear" w:color="auto" w:fill="auto"/>
            <w:noWrap/>
            <w:textDirection w:val="btLr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CUIDADOR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AGENTE DE ALIMENTAÇÃO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AGENTE DE LIMPEZA E CONSERVAÇÃO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ALTA FLORESTA DO OESTE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textDirection w:val="btLr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Alta Floresta do Oeste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ARIQUEMES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Ariquemes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Alto Paraíso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Cacaulândia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</w:t>
            </w: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Campo Novo de Rondônia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P. A. Rio Branco/Campo Novo de Rondônia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Garimpo Bom Futuro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Monte Negro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BURITIS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Buritis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CACOAL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Cacoal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Distrito de Riozinho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CEREJEIRAS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Cerejeiras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Cabixi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Corumbiara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Pimenteiras do Oeste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COSTA MARQUES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Costa Marques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ESPIGÃO DO OESTE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Espigão do Oeste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EXTREMA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Extrema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E938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GUAJARÁ</w:t>
            </w:r>
            <w:r w:rsidR="00E938D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MIRIM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E938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Guajará</w:t>
            </w:r>
            <w:r w:rsidR="00E9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Mirim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Distrito de </w:t>
            </w:r>
            <w:proofErr w:type="spellStart"/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Iata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Distrito de Palmeiras/Linha 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Nova Mamoré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3ª Linha do Ribeirão/Nova Mamoré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Distrito de Nova Dimensão/Linha 28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JARU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Jaru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JI-PARANÁ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Ji-Paraná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Alvorada do Oeste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Urupá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MACHADINHO DO OESTE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Machadinho do Oeste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Vale do </w:t>
            </w:r>
            <w:proofErr w:type="spellStart"/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Anari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OURO PRETO DO OESTE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Ouro Preto do Oeste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Mirante da Serra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Nova União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Vale do Paraíso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PIMENTA BUENO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Pimenta Bueno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Distrito de Querência do Norte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-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Parecis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São Felipe do Oeste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PORTO VELHO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Porto Velho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Distrito de Nazaré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Distrito de União Bandeirantes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Distrito de Jaci-Paraná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Triunfo/Candeias do Jamari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ROLIM DE MOURA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Rolim de Moura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Nova Brasilândia do Oeste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Santa Luzia do Oeste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SÃO FRANCISCO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São Francisco do Guaporé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Seringueiras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São Miguel do Guaporé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CRE VILHENA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Vilhena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Chupinguaia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Colorado do Oeste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 </w:t>
            </w:r>
          </w:p>
        </w:tc>
      </w:tr>
      <w:tr w:rsidR="001C46EF" w:rsidRPr="001C46EF" w:rsidTr="001C46EF">
        <w:trPr>
          <w:trHeight w:val="24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C46EF" w:rsidRPr="001C46EF" w:rsidRDefault="001C46EF" w:rsidP="00201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C46E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70</w:t>
            </w:r>
          </w:p>
        </w:tc>
      </w:tr>
    </w:tbl>
    <w:p w:rsidR="001C46EF" w:rsidRPr="001C46EF" w:rsidRDefault="001C46EF" w:rsidP="001C46EF">
      <w:pPr>
        <w:jc w:val="center"/>
        <w:rPr>
          <w:rFonts w:ascii="Times New Roman" w:hAnsi="Times New Roman" w:cs="Times New Roman"/>
          <w:b/>
          <w:color w:val="000000" w:themeColor="text1"/>
          <w:lang w:val="pt-PT"/>
        </w:rPr>
      </w:pPr>
    </w:p>
    <w:p w:rsidR="001C46EF" w:rsidRPr="001C46EF" w:rsidRDefault="001C46EF" w:rsidP="00987EC3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C46EF" w:rsidRPr="001C46EF" w:rsidSect="001C46EF">
      <w:pgSz w:w="11907" w:h="16840" w:code="9"/>
      <w:pgMar w:top="1134" w:right="567" w:bottom="567" w:left="1134" w:header="68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29" w:rsidRDefault="00201D29" w:rsidP="00C36C77">
      <w:pPr>
        <w:spacing w:after="0" w:line="240" w:lineRule="auto"/>
      </w:pPr>
      <w:r>
        <w:separator/>
      </w:r>
    </w:p>
  </w:endnote>
  <w:endnote w:type="continuationSeparator" w:id="0">
    <w:p w:rsidR="00201D29" w:rsidRDefault="00201D29" w:rsidP="00C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261202"/>
      <w:docPartObj>
        <w:docPartGallery w:val="Page Numbers (Bottom of Page)"/>
        <w:docPartUnique/>
      </w:docPartObj>
    </w:sdtPr>
    <w:sdtEndPr/>
    <w:sdtContent>
      <w:p w:rsidR="00201D29" w:rsidRDefault="00201D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3CE">
          <w:rPr>
            <w:noProof/>
          </w:rPr>
          <w:t>6</w:t>
        </w:r>
        <w:r>
          <w:fldChar w:fldCharType="end"/>
        </w:r>
      </w:p>
    </w:sdtContent>
  </w:sdt>
  <w:p w:rsidR="00201D29" w:rsidRDefault="00201D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29" w:rsidRDefault="00201D29" w:rsidP="00C36C77">
      <w:pPr>
        <w:spacing w:after="0" w:line="240" w:lineRule="auto"/>
      </w:pPr>
      <w:r>
        <w:separator/>
      </w:r>
    </w:p>
  </w:footnote>
  <w:footnote w:type="continuationSeparator" w:id="0">
    <w:p w:rsidR="00201D29" w:rsidRDefault="00201D29" w:rsidP="00C3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29" w:rsidRPr="00C36C77" w:rsidRDefault="00201D29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60163133" r:id="rId2"/>
      </w:object>
    </w:r>
  </w:p>
  <w:p w:rsidR="00201D29" w:rsidRPr="00A33DBE" w:rsidRDefault="00201D29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A33DBE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201D29" w:rsidRPr="00A33DBE" w:rsidRDefault="00201D29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A33DBE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201D29" w:rsidRPr="006F2DAD" w:rsidRDefault="00201D29">
    <w:pPr>
      <w:pStyle w:val="Cabealho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7"/>
    <w:rsid w:val="000027CC"/>
    <w:rsid w:val="000509E1"/>
    <w:rsid w:val="000B292E"/>
    <w:rsid w:val="000D5789"/>
    <w:rsid w:val="001C46EF"/>
    <w:rsid w:val="001D45D2"/>
    <w:rsid w:val="001F7C94"/>
    <w:rsid w:val="00201D29"/>
    <w:rsid w:val="00205A07"/>
    <w:rsid w:val="002071C9"/>
    <w:rsid w:val="00283107"/>
    <w:rsid w:val="00285E90"/>
    <w:rsid w:val="00295FA7"/>
    <w:rsid w:val="00385A0A"/>
    <w:rsid w:val="003E582C"/>
    <w:rsid w:val="004A0FE3"/>
    <w:rsid w:val="00505A64"/>
    <w:rsid w:val="00561C17"/>
    <w:rsid w:val="00567C8F"/>
    <w:rsid w:val="005B780A"/>
    <w:rsid w:val="005D4032"/>
    <w:rsid w:val="005F0089"/>
    <w:rsid w:val="005F6B83"/>
    <w:rsid w:val="006173CE"/>
    <w:rsid w:val="00636B2C"/>
    <w:rsid w:val="006540CD"/>
    <w:rsid w:val="006A607D"/>
    <w:rsid w:val="006D727F"/>
    <w:rsid w:val="007273FA"/>
    <w:rsid w:val="007403AE"/>
    <w:rsid w:val="008175F2"/>
    <w:rsid w:val="00846F86"/>
    <w:rsid w:val="008B7E34"/>
    <w:rsid w:val="00987EC3"/>
    <w:rsid w:val="00A33DBE"/>
    <w:rsid w:val="00A90868"/>
    <w:rsid w:val="00AD16D7"/>
    <w:rsid w:val="00B3459E"/>
    <w:rsid w:val="00C36C77"/>
    <w:rsid w:val="00CE229C"/>
    <w:rsid w:val="00D2370C"/>
    <w:rsid w:val="00D91535"/>
    <w:rsid w:val="00DF6868"/>
    <w:rsid w:val="00E62B0B"/>
    <w:rsid w:val="00E938D6"/>
    <w:rsid w:val="00EE3A5D"/>
    <w:rsid w:val="00F13D49"/>
    <w:rsid w:val="00F31959"/>
    <w:rsid w:val="00F40225"/>
    <w:rsid w:val="00F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208F4D-9619-4275-A35D-11F8BCF4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05A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C77"/>
  </w:style>
  <w:style w:type="paragraph" w:styleId="Rodap">
    <w:name w:val="footer"/>
    <w:basedOn w:val="Normal"/>
    <w:link w:val="Rodap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C77"/>
  </w:style>
  <w:style w:type="paragraph" w:styleId="Textodebalo">
    <w:name w:val="Balloon Text"/>
    <w:basedOn w:val="Normal"/>
    <w:link w:val="TextodebaloChar"/>
    <w:uiPriority w:val="99"/>
    <w:semiHidden/>
    <w:unhideWhenUsed/>
    <w:rsid w:val="005B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0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05A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237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237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19E7-8D10-4E9C-9D5F-922BADC2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1449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Santicléia da Costa Portela</cp:lastModifiedBy>
  <cp:revision>31</cp:revision>
  <cp:lastPrinted>2017-06-21T17:10:00Z</cp:lastPrinted>
  <dcterms:created xsi:type="dcterms:W3CDTF">2017-06-22T12:35:00Z</dcterms:created>
  <dcterms:modified xsi:type="dcterms:W3CDTF">2017-06-28T17:51:00Z</dcterms:modified>
</cp:coreProperties>
</file>