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39" w:rsidRPr="00C82E30" w:rsidRDefault="00BE41A2" w:rsidP="00C82E30">
      <w:pPr>
        <w:tabs>
          <w:tab w:val="left" w:pos="2977"/>
        </w:tabs>
        <w:ind w:firstLine="567"/>
        <w:jc w:val="center"/>
        <w:rPr>
          <w:i/>
        </w:rPr>
      </w:pPr>
      <w:r w:rsidRPr="00C82E30">
        <w:rPr>
          <w:color w:val="000000"/>
        </w:rPr>
        <w:t>DECRETO N.</w:t>
      </w:r>
      <w:r w:rsidR="002C14FF">
        <w:rPr>
          <w:color w:val="000000"/>
        </w:rPr>
        <w:t xml:space="preserve"> 20.858</w:t>
      </w:r>
      <w:r w:rsidR="00D54C45" w:rsidRPr="00C82E30">
        <w:rPr>
          <w:color w:val="000000"/>
        </w:rPr>
        <w:t xml:space="preserve">, </w:t>
      </w:r>
      <w:r w:rsidRPr="00C82E30">
        <w:rPr>
          <w:color w:val="000000"/>
        </w:rPr>
        <w:t>DE</w:t>
      </w:r>
      <w:r w:rsidR="002C14FF">
        <w:rPr>
          <w:color w:val="000000"/>
        </w:rPr>
        <w:t xml:space="preserve"> 9 </w:t>
      </w:r>
      <w:r w:rsidRPr="00C82E30">
        <w:rPr>
          <w:color w:val="000000"/>
        </w:rPr>
        <w:t>DE</w:t>
      </w:r>
      <w:r w:rsidR="00FD4A71" w:rsidRPr="00C82E30">
        <w:rPr>
          <w:color w:val="000000"/>
        </w:rPr>
        <w:t xml:space="preserve"> </w:t>
      </w:r>
      <w:r w:rsidR="00A30582" w:rsidRPr="00C82E30">
        <w:rPr>
          <w:color w:val="000000"/>
        </w:rPr>
        <w:t>MA</w:t>
      </w:r>
      <w:r w:rsidR="00DE43F0" w:rsidRPr="00C82E30">
        <w:rPr>
          <w:color w:val="000000"/>
        </w:rPr>
        <w:t>IO</w:t>
      </w:r>
      <w:r w:rsidR="00A30582" w:rsidRPr="00C82E30">
        <w:rPr>
          <w:color w:val="000000"/>
        </w:rPr>
        <w:t xml:space="preserve"> </w:t>
      </w:r>
      <w:r w:rsidRPr="00C82E30">
        <w:rPr>
          <w:color w:val="000000"/>
        </w:rPr>
        <w:t>DE 201</w:t>
      </w:r>
      <w:r w:rsidR="001B6A09" w:rsidRPr="00C82E30">
        <w:rPr>
          <w:color w:val="000000"/>
        </w:rPr>
        <w:t>6</w:t>
      </w:r>
      <w:r w:rsidRPr="00C82E30">
        <w:rPr>
          <w:color w:val="000000"/>
        </w:rPr>
        <w:t>.</w:t>
      </w:r>
    </w:p>
    <w:p w:rsidR="0078716B" w:rsidRPr="00F55025" w:rsidRDefault="00F55025" w:rsidP="0078716B">
      <w:pPr>
        <w:jc w:val="center"/>
        <w:rPr>
          <w:b/>
          <w:color w:val="000000"/>
        </w:rPr>
      </w:pPr>
      <w:hyperlink r:id="rId8" w:history="1">
        <w:r w:rsidRPr="00F55025">
          <w:rPr>
            <w:rStyle w:val="Hyperlink"/>
            <w:b/>
          </w:rPr>
          <w:t>(</w:t>
        </w:r>
        <w:r w:rsidR="0078716B" w:rsidRPr="00F55025">
          <w:rPr>
            <w:rStyle w:val="Hyperlink"/>
            <w:b/>
          </w:rPr>
          <w:t>Revogado pelo D</w:t>
        </w:r>
        <w:r w:rsidRPr="00F55025">
          <w:rPr>
            <w:rStyle w:val="Hyperlink"/>
            <w:b/>
          </w:rPr>
          <w:t>ecreto n. 20.886, de 24/05/2016)</w:t>
        </w:r>
      </w:hyperlink>
      <w:bookmarkStart w:id="0" w:name="_GoBack"/>
      <w:bookmarkEnd w:id="0"/>
    </w:p>
    <w:p w:rsidR="0078716B" w:rsidRDefault="0078716B" w:rsidP="0078716B">
      <w:pPr>
        <w:rPr>
          <w:color w:val="000000"/>
        </w:rPr>
      </w:pPr>
    </w:p>
    <w:p w:rsidR="003111F5" w:rsidRDefault="004F0081" w:rsidP="004F0081">
      <w:pPr>
        <w:rPr>
          <w:color w:val="000000"/>
        </w:rPr>
      </w:pPr>
      <w:r>
        <w:rPr>
          <w:color w:val="000000"/>
        </w:rPr>
        <w:t>Alterações:</w:t>
      </w:r>
    </w:p>
    <w:p w:rsidR="004F0081" w:rsidRDefault="004F0081" w:rsidP="004F0081">
      <w:pPr>
        <w:rPr>
          <w:color w:val="000000"/>
        </w:rPr>
      </w:pPr>
      <w:r>
        <w:rPr>
          <w:color w:val="000000"/>
        </w:rPr>
        <w:t>Efeitos sustados pelo Decreto Legislativo n. 641, de 18/05/2016.</w:t>
      </w:r>
    </w:p>
    <w:p w:rsidR="00335824" w:rsidRPr="00C82E30" w:rsidRDefault="00335824" w:rsidP="004F0081">
      <w:pPr>
        <w:rPr>
          <w:color w:val="000000"/>
        </w:rPr>
      </w:pPr>
    </w:p>
    <w:p w:rsidR="007204F4" w:rsidRPr="00C82E30" w:rsidRDefault="000503DD" w:rsidP="00C82E30">
      <w:pPr>
        <w:pStyle w:val="Recuodecorpodetexto"/>
        <w:ind w:left="5103"/>
        <w:jc w:val="both"/>
        <w:rPr>
          <w:color w:val="000000"/>
          <w:szCs w:val="24"/>
        </w:rPr>
      </w:pPr>
      <w:r w:rsidRPr="00C82E30">
        <w:rPr>
          <w:rStyle w:val="f11"/>
          <w:sz w:val="24"/>
          <w:szCs w:val="24"/>
        </w:rPr>
        <w:t xml:space="preserve">Estabelece no âmbito da </w:t>
      </w:r>
      <w:r w:rsidR="009310E4">
        <w:rPr>
          <w:rStyle w:val="f11"/>
          <w:sz w:val="24"/>
          <w:szCs w:val="24"/>
        </w:rPr>
        <w:t>Administração Pública Estadual</w:t>
      </w:r>
      <w:r w:rsidRPr="00C82E30">
        <w:rPr>
          <w:rStyle w:val="f11"/>
          <w:sz w:val="24"/>
          <w:szCs w:val="24"/>
        </w:rPr>
        <w:t xml:space="preserve"> </w:t>
      </w:r>
      <w:r w:rsidR="009310E4">
        <w:rPr>
          <w:rStyle w:val="f11"/>
          <w:sz w:val="24"/>
          <w:szCs w:val="24"/>
        </w:rPr>
        <w:t>D</w:t>
      </w:r>
      <w:r w:rsidRPr="00C82E30">
        <w:rPr>
          <w:rStyle w:val="f11"/>
          <w:sz w:val="24"/>
          <w:szCs w:val="24"/>
        </w:rPr>
        <w:t xml:space="preserve">ireta, </w:t>
      </w:r>
      <w:r w:rsidR="009310E4">
        <w:rPr>
          <w:rStyle w:val="f11"/>
          <w:sz w:val="24"/>
          <w:szCs w:val="24"/>
        </w:rPr>
        <w:t>A</w:t>
      </w:r>
      <w:r w:rsidRPr="00C82E30">
        <w:rPr>
          <w:rStyle w:val="f11"/>
          <w:sz w:val="24"/>
          <w:szCs w:val="24"/>
        </w:rPr>
        <w:t xml:space="preserve">utárquica e </w:t>
      </w:r>
      <w:r w:rsidR="009310E4">
        <w:rPr>
          <w:rStyle w:val="f11"/>
          <w:sz w:val="24"/>
          <w:szCs w:val="24"/>
        </w:rPr>
        <w:t>F</w:t>
      </w:r>
      <w:r w:rsidRPr="00C82E30">
        <w:rPr>
          <w:rStyle w:val="f11"/>
          <w:sz w:val="24"/>
          <w:szCs w:val="24"/>
        </w:rPr>
        <w:t>undacional, normas e medidas complementares de racionalização do gasto público e dá outras providências</w:t>
      </w:r>
      <w:r w:rsidR="00DF4D45" w:rsidRPr="00C82E30">
        <w:rPr>
          <w:color w:val="000000"/>
          <w:szCs w:val="24"/>
        </w:rPr>
        <w:t>.</w:t>
      </w:r>
    </w:p>
    <w:p w:rsidR="008C5074" w:rsidRPr="00C82E30" w:rsidRDefault="008C5074" w:rsidP="00C82E30">
      <w:pPr>
        <w:jc w:val="both"/>
        <w:rPr>
          <w:color w:val="000000"/>
        </w:rPr>
      </w:pPr>
    </w:p>
    <w:p w:rsidR="007B63C4" w:rsidRPr="00C82E30" w:rsidRDefault="007B63C4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 xml:space="preserve">O GOVERNADOR DO ESTADO DE RONDÔNIA, no uso das atribuições que lhe confere o artigo 65, inciso V, da Constituição Estadual e, </w:t>
      </w:r>
    </w:p>
    <w:p w:rsidR="000503DD" w:rsidRPr="00C82E30" w:rsidRDefault="000503DD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0503DD" w:rsidRPr="00C82E30" w:rsidRDefault="000503DD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 xml:space="preserve">Considerando </w:t>
      </w:r>
      <w:r w:rsidR="004A3C8B">
        <w:rPr>
          <w:color w:val="000000"/>
          <w:sz w:val="24"/>
          <w:szCs w:val="24"/>
        </w:rPr>
        <w:t xml:space="preserve">que </w:t>
      </w:r>
      <w:r w:rsidRPr="00C82E30">
        <w:rPr>
          <w:color w:val="000000"/>
          <w:sz w:val="24"/>
          <w:szCs w:val="24"/>
        </w:rPr>
        <w:t>o atual cenário econômico nacional</w:t>
      </w:r>
      <w:r w:rsidR="004A3C8B">
        <w:rPr>
          <w:color w:val="000000"/>
          <w:sz w:val="24"/>
          <w:szCs w:val="24"/>
        </w:rPr>
        <w:t xml:space="preserve"> </w:t>
      </w:r>
      <w:r w:rsidRPr="00C82E30">
        <w:rPr>
          <w:color w:val="000000"/>
          <w:sz w:val="24"/>
          <w:szCs w:val="24"/>
        </w:rPr>
        <w:t>refle</w:t>
      </w:r>
      <w:r w:rsidR="004A3C8B">
        <w:rPr>
          <w:color w:val="000000"/>
          <w:sz w:val="24"/>
          <w:szCs w:val="24"/>
        </w:rPr>
        <w:t>te</w:t>
      </w:r>
      <w:r w:rsidRPr="00C82E30">
        <w:rPr>
          <w:color w:val="000000"/>
          <w:sz w:val="24"/>
          <w:szCs w:val="24"/>
        </w:rPr>
        <w:t xml:space="preserve"> na economia </w:t>
      </w:r>
      <w:r w:rsidRPr="006F0C64">
        <w:rPr>
          <w:color w:val="000000"/>
          <w:sz w:val="24"/>
          <w:szCs w:val="24"/>
        </w:rPr>
        <w:t>rondoniense</w:t>
      </w:r>
      <w:r w:rsidR="0070470D" w:rsidRPr="006F0C64">
        <w:rPr>
          <w:color w:val="000000"/>
          <w:sz w:val="24"/>
          <w:szCs w:val="24"/>
        </w:rPr>
        <w:t xml:space="preserve"> </w:t>
      </w:r>
      <w:r w:rsidR="004A3C8B" w:rsidRPr="006F0C64">
        <w:rPr>
          <w:color w:val="000000"/>
          <w:sz w:val="24"/>
          <w:szCs w:val="24"/>
        </w:rPr>
        <w:t>resulta</w:t>
      </w:r>
      <w:r w:rsidR="006F0C64" w:rsidRPr="006F0C64">
        <w:rPr>
          <w:color w:val="000000"/>
          <w:sz w:val="24"/>
          <w:szCs w:val="24"/>
        </w:rPr>
        <w:t>ndo</w:t>
      </w:r>
      <w:r w:rsidR="004A3C8B">
        <w:rPr>
          <w:color w:val="000000"/>
          <w:sz w:val="24"/>
          <w:szCs w:val="24"/>
        </w:rPr>
        <w:t xml:space="preserve"> em</w:t>
      </w:r>
      <w:r w:rsidRPr="00C82E30">
        <w:rPr>
          <w:color w:val="000000"/>
          <w:sz w:val="24"/>
          <w:szCs w:val="24"/>
        </w:rPr>
        <w:t xml:space="preserve"> ameaças a</w:t>
      </w:r>
      <w:r w:rsidR="0070470D">
        <w:rPr>
          <w:color w:val="000000"/>
          <w:sz w:val="24"/>
          <w:szCs w:val="24"/>
        </w:rPr>
        <w:t>o cumprimento das metas fiscais</w:t>
      </w:r>
      <w:r w:rsidR="004A3C8B">
        <w:rPr>
          <w:color w:val="000000"/>
          <w:sz w:val="24"/>
          <w:szCs w:val="24"/>
        </w:rPr>
        <w:t>,</w:t>
      </w:r>
      <w:r w:rsidRPr="00C82E30">
        <w:rPr>
          <w:color w:val="000000"/>
          <w:sz w:val="24"/>
          <w:szCs w:val="24"/>
        </w:rPr>
        <w:t xml:space="preserve"> visando manter equilibradas as contas públicas sem</w:t>
      </w:r>
      <w:r w:rsidR="004A3C8B">
        <w:rPr>
          <w:color w:val="000000"/>
          <w:sz w:val="24"/>
          <w:szCs w:val="24"/>
        </w:rPr>
        <w:t>, contudo,</w:t>
      </w:r>
      <w:r w:rsidRPr="00C82E30">
        <w:rPr>
          <w:color w:val="000000"/>
          <w:sz w:val="24"/>
          <w:szCs w:val="24"/>
        </w:rPr>
        <w:t xml:space="preserve"> comprometer </w:t>
      </w:r>
      <w:r w:rsidR="004A3C8B">
        <w:rPr>
          <w:color w:val="000000"/>
          <w:sz w:val="24"/>
          <w:szCs w:val="24"/>
        </w:rPr>
        <w:t>os</w:t>
      </w:r>
      <w:r w:rsidRPr="00C82E30">
        <w:rPr>
          <w:color w:val="000000"/>
          <w:sz w:val="24"/>
          <w:szCs w:val="24"/>
        </w:rPr>
        <w:t xml:space="preserve"> serviços prestados aos cidadãos,</w:t>
      </w:r>
    </w:p>
    <w:p w:rsidR="000503DD" w:rsidRPr="00C82E30" w:rsidRDefault="000503DD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B63C4" w:rsidRPr="00C82E30" w:rsidRDefault="007B63C4" w:rsidP="00C82E30">
      <w:pPr>
        <w:ind w:firstLine="567"/>
        <w:jc w:val="both"/>
        <w:rPr>
          <w:color w:val="000000"/>
        </w:rPr>
      </w:pPr>
      <w:r w:rsidRPr="00C82E30">
        <w:rPr>
          <w:color w:val="000000"/>
          <w:u w:val="words"/>
        </w:rPr>
        <w:t>D E C R E T A</w:t>
      </w:r>
      <w:r w:rsidRPr="00C82E30">
        <w:rPr>
          <w:color w:val="000000"/>
        </w:rPr>
        <w:t>:</w:t>
      </w:r>
    </w:p>
    <w:p w:rsidR="007B63C4" w:rsidRPr="00C82E30" w:rsidRDefault="007B63C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Art. 1º</w:t>
      </w:r>
      <w:r w:rsidR="008A22A4" w:rsidRPr="00C82E30">
        <w:rPr>
          <w:color w:val="000000"/>
        </w:rPr>
        <w:t>.</w:t>
      </w:r>
      <w:r w:rsidRPr="00C82E30">
        <w:rPr>
          <w:color w:val="000000"/>
        </w:rPr>
        <w:t xml:space="preserve"> 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da Administração Direta e Indireta, inclu</w:t>
      </w:r>
      <w:r w:rsidR="005A03A1">
        <w:rPr>
          <w:color w:val="000000"/>
        </w:rPr>
        <w:t>ídas</w:t>
      </w:r>
      <w:r w:rsidRPr="00C82E30">
        <w:rPr>
          <w:color w:val="000000"/>
        </w:rPr>
        <w:t xml:space="preserve"> as Autarquias, as Companhias, as Empresas</w:t>
      </w:r>
      <w:r w:rsidR="00692D51">
        <w:rPr>
          <w:color w:val="000000"/>
        </w:rPr>
        <w:t xml:space="preserve"> e</w:t>
      </w:r>
      <w:r w:rsidRPr="00C82E30">
        <w:rPr>
          <w:color w:val="000000"/>
        </w:rPr>
        <w:t xml:space="preserve"> as Fundações </w:t>
      </w:r>
      <w:r w:rsidR="00692D51" w:rsidRPr="00C82E30">
        <w:rPr>
          <w:color w:val="000000"/>
        </w:rPr>
        <w:t>Públicas</w:t>
      </w:r>
      <w:r w:rsidR="00692D51">
        <w:rPr>
          <w:color w:val="000000"/>
        </w:rPr>
        <w:t>, bem como as</w:t>
      </w:r>
      <w:r w:rsidRPr="00C82E30">
        <w:rPr>
          <w:color w:val="000000"/>
        </w:rPr>
        <w:t xml:space="preserve"> Sociedades de Economia Mista, classificadas como dependentes</w:t>
      </w:r>
      <w:r w:rsidR="00692D51">
        <w:rPr>
          <w:color w:val="000000"/>
        </w:rPr>
        <w:t>,</w:t>
      </w:r>
      <w:r w:rsidRPr="00C82E30">
        <w:rPr>
          <w:color w:val="000000"/>
        </w:rPr>
        <w:t xml:space="preserve"> nos termos do inc</w:t>
      </w:r>
      <w:r w:rsidR="009310E4">
        <w:rPr>
          <w:color w:val="000000"/>
        </w:rPr>
        <w:t>iso</w:t>
      </w:r>
      <w:r w:rsidRPr="00C82E30">
        <w:rPr>
          <w:color w:val="000000"/>
        </w:rPr>
        <w:t xml:space="preserve"> III</w:t>
      </w:r>
      <w:r w:rsidR="009310E4">
        <w:rPr>
          <w:color w:val="000000"/>
        </w:rPr>
        <w:t>,</w:t>
      </w:r>
      <w:r w:rsidRPr="00C82E30">
        <w:rPr>
          <w:color w:val="000000"/>
        </w:rPr>
        <w:t xml:space="preserve"> do art</w:t>
      </w:r>
      <w:r w:rsidR="009310E4">
        <w:rPr>
          <w:color w:val="000000"/>
        </w:rPr>
        <w:t>igo</w:t>
      </w:r>
      <w:r w:rsidRPr="00C82E30">
        <w:rPr>
          <w:color w:val="000000"/>
        </w:rPr>
        <w:t xml:space="preserve"> 2</w:t>
      </w:r>
      <w:r w:rsidR="009310E4">
        <w:rPr>
          <w:color w:val="000000"/>
        </w:rPr>
        <w:t>º,</w:t>
      </w:r>
      <w:r w:rsidRPr="00C82E30">
        <w:rPr>
          <w:color w:val="000000"/>
        </w:rPr>
        <w:t xml:space="preserve"> da Lei Complementar Federal n</w:t>
      </w:r>
      <w:r w:rsidR="009310E4">
        <w:rPr>
          <w:color w:val="000000"/>
        </w:rPr>
        <w:t>º</w:t>
      </w:r>
      <w:r w:rsidRPr="00C82E30">
        <w:rPr>
          <w:color w:val="000000"/>
        </w:rPr>
        <w:t xml:space="preserve"> 101, de 4 de maio de 2000, sujeitam-se às disposições deste Decreto </w:t>
      </w:r>
      <w:r w:rsidR="0070470D" w:rsidRPr="006F0C64">
        <w:rPr>
          <w:color w:val="000000"/>
        </w:rPr>
        <w:t>os quais</w:t>
      </w:r>
      <w:r w:rsidR="0070470D">
        <w:rPr>
          <w:color w:val="000000"/>
        </w:rPr>
        <w:t xml:space="preserve"> </w:t>
      </w:r>
      <w:r w:rsidR="009310E4">
        <w:rPr>
          <w:color w:val="000000"/>
        </w:rPr>
        <w:t>devem</w:t>
      </w:r>
      <w:r w:rsidRPr="00C82E30">
        <w:rPr>
          <w:color w:val="000000"/>
        </w:rPr>
        <w:t xml:space="preserve"> </w:t>
      </w:r>
      <w:r w:rsidR="00692D51">
        <w:rPr>
          <w:color w:val="000000"/>
        </w:rPr>
        <w:t>promover</w:t>
      </w:r>
      <w:r w:rsidRPr="00C82E30">
        <w:rPr>
          <w:color w:val="000000"/>
        </w:rPr>
        <w:t xml:space="preserve"> medidas para</w:t>
      </w:r>
      <w:r w:rsidR="0070470D">
        <w:rPr>
          <w:color w:val="000000"/>
        </w:rPr>
        <w:t xml:space="preserve"> a</w:t>
      </w:r>
      <w:r w:rsidRPr="00C82E30">
        <w:rPr>
          <w:color w:val="000000"/>
        </w:rPr>
        <w:t xml:space="preserve"> redução de 25% (vinte e cinco por cento) das despesas com custeio</w:t>
      </w:r>
      <w:r w:rsidR="0070470D">
        <w:rPr>
          <w:color w:val="000000"/>
        </w:rPr>
        <w:t>,</w:t>
      </w:r>
      <w:r w:rsidRPr="00C82E30">
        <w:rPr>
          <w:color w:val="000000"/>
        </w:rPr>
        <w:t xml:space="preserve"> </w:t>
      </w:r>
      <w:r w:rsidR="00692D51">
        <w:rPr>
          <w:color w:val="000000"/>
        </w:rPr>
        <w:t>estabelecidos</w:t>
      </w:r>
      <w:r w:rsidRPr="00C82E30">
        <w:rPr>
          <w:color w:val="000000"/>
        </w:rPr>
        <w:t xml:space="preserve"> na Lei Orçamentária Anual, adotando providências complementares de racionalização do gasto púb</w:t>
      </w:r>
      <w:r w:rsidR="009310E4">
        <w:rPr>
          <w:color w:val="000000"/>
        </w:rPr>
        <w:t>lico, especialmente no tocante à</w:t>
      </w:r>
      <w:r w:rsidRPr="00C82E30">
        <w:rPr>
          <w:color w:val="000000"/>
        </w:rPr>
        <w:t>s contratações para aquisição de bens e prestação de serviços</w:t>
      </w:r>
      <w:r w:rsidR="009310E4">
        <w:rPr>
          <w:color w:val="000000"/>
        </w:rPr>
        <w:t xml:space="preserve"> públicos</w:t>
      </w:r>
      <w:r w:rsidRPr="00C82E30">
        <w:rPr>
          <w:color w:val="000000"/>
        </w:rPr>
        <w:t xml:space="preserve"> e despesas com pessoal.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1º</w:t>
      </w:r>
      <w:r w:rsidR="008A22A4" w:rsidRPr="00C82E30">
        <w:rPr>
          <w:color w:val="000000"/>
        </w:rPr>
        <w:t>.</w:t>
      </w:r>
      <w:r w:rsidRPr="00C82E30">
        <w:rPr>
          <w:color w:val="000000"/>
        </w:rPr>
        <w:t xml:space="preserve"> 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e as </w:t>
      </w:r>
      <w:r w:rsidR="009310E4">
        <w:rPr>
          <w:color w:val="000000"/>
        </w:rPr>
        <w:t>Entidades</w:t>
      </w:r>
      <w:r w:rsidRPr="00C82E30">
        <w:rPr>
          <w:color w:val="000000"/>
        </w:rPr>
        <w:t xml:space="preserve"> da </w:t>
      </w:r>
      <w:r w:rsidR="009310E4">
        <w:rPr>
          <w:color w:val="000000"/>
        </w:rPr>
        <w:t>Administração Pública Estadual</w:t>
      </w:r>
      <w:r w:rsidRPr="00C82E30">
        <w:rPr>
          <w:color w:val="000000"/>
        </w:rPr>
        <w:t xml:space="preserve"> deverão reavaliar os contratos e os instrumentos congêneres relativos à aquisição de bens e à prestação de serviços, prioriz</w:t>
      </w:r>
      <w:r w:rsidR="009310E4">
        <w:rPr>
          <w:color w:val="000000"/>
        </w:rPr>
        <w:t>ando os relacionados no Anexo I,</w:t>
      </w:r>
      <w:r w:rsidRPr="00C82E30">
        <w:rPr>
          <w:color w:val="000000"/>
        </w:rPr>
        <w:t xml:space="preserve"> com o objetivo de reduzir o gasto público de acordo com a meta percentual estabelecida no </w:t>
      </w:r>
      <w:r w:rsidRPr="009310E4">
        <w:rPr>
          <w:i/>
          <w:color w:val="000000"/>
        </w:rPr>
        <w:t>caput</w:t>
      </w:r>
      <w:r w:rsidRPr="00C82E30">
        <w:rPr>
          <w:color w:val="000000"/>
        </w:rPr>
        <w:t xml:space="preserve"> deste artigo, observa</w:t>
      </w:r>
      <w:r w:rsidR="009310E4">
        <w:rPr>
          <w:color w:val="000000"/>
        </w:rPr>
        <w:t>n</w:t>
      </w:r>
      <w:r w:rsidRPr="00C82E30">
        <w:rPr>
          <w:color w:val="000000"/>
        </w:rPr>
        <w:t>do o disposto no</w:t>
      </w:r>
      <w:r w:rsidR="009310E4">
        <w:rPr>
          <w:color w:val="000000"/>
        </w:rPr>
        <w:t>s</w:t>
      </w:r>
      <w:r w:rsidRPr="00C82E30">
        <w:rPr>
          <w:color w:val="000000"/>
        </w:rPr>
        <w:t xml:space="preserve"> art</w:t>
      </w:r>
      <w:r w:rsidR="009310E4">
        <w:rPr>
          <w:color w:val="000000"/>
        </w:rPr>
        <w:t>igos</w:t>
      </w:r>
      <w:r w:rsidRPr="00C82E30">
        <w:rPr>
          <w:color w:val="000000"/>
        </w:rPr>
        <w:t xml:space="preserve"> 58</w:t>
      </w:r>
      <w:r w:rsidR="009310E4">
        <w:rPr>
          <w:color w:val="000000"/>
        </w:rPr>
        <w:t xml:space="preserve"> e</w:t>
      </w:r>
      <w:r w:rsidRPr="00C82E30">
        <w:rPr>
          <w:color w:val="000000"/>
        </w:rPr>
        <w:t xml:space="preserve"> 65, </w:t>
      </w:r>
      <w:r w:rsidR="009310E4">
        <w:rPr>
          <w:color w:val="000000"/>
        </w:rPr>
        <w:t>no</w:t>
      </w:r>
      <w:r w:rsidRPr="00C82E30">
        <w:rPr>
          <w:color w:val="000000"/>
        </w:rPr>
        <w:t xml:space="preserve"> inciso XII</w:t>
      </w:r>
      <w:r w:rsidR="009310E4">
        <w:rPr>
          <w:color w:val="000000"/>
        </w:rPr>
        <w:t>, do artigo 78</w:t>
      </w:r>
      <w:r w:rsidRPr="00C82E30">
        <w:rPr>
          <w:color w:val="000000"/>
        </w:rPr>
        <w:t>, e</w:t>
      </w:r>
      <w:r w:rsidR="009310E4">
        <w:rPr>
          <w:color w:val="000000"/>
        </w:rPr>
        <w:t xml:space="preserve"> no inciso I, do artigo 79</w:t>
      </w:r>
      <w:r w:rsidRPr="00C82E30">
        <w:rPr>
          <w:color w:val="000000"/>
        </w:rPr>
        <w:t xml:space="preserve">, da Lei </w:t>
      </w:r>
      <w:r w:rsidR="009310E4">
        <w:rPr>
          <w:color w:val="000000"/>
        </w:rPr>
        <w:t xml:space="preserve">Federal </w:t>
      </w:r>
      <w:r w:rsidRPr="00C82E30">
        <w:rPr>
          <w:color w:val="000000"/>
        </w:rPr>
        <w:t>nº 8.666, de 21 de junho de 1993.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2º</w:t>
      </w:r>
      <w:r w:rsidR="008A22A4" w:rsidRPr="00C82E30">
        <w:rPr>
          <w:color w:val="000000"/>
        </w:rPr>
        <w:t>.</w:t>
      </w:r>
      <w:r w:rsidRPr="00C82E30">
        <w:rPr>
          <w:color w:val="000000"/>
        </w:rPr>
        <w:t xml:space="preserve"> A decisão pela prorrogação ou pela celebração de novos contratos e instrumentos congêneres, no âmbito da </w:t>
      </w:r>
      <w:r w:rsidR="009310E4">
        <w:rPr>
          <w:color w:val="000000"/>
        </w:rPr>
        <w:t>Administração Pública Estadual</w:t>
      </w:r>
      <w:r w:rsidRPr="00C82E30">
        <w:rPr>
          <w:color w:val="000000"/>
        </w:rPr>
        <w:t xml:space="preserve">, deverá sempre observar a essencialidade de seu objeto e o relevante interesse público, com expressa autorização do </w:t>
      </w:r>
      <w:r w:rsidR="00692D51">
        <w:rPr>
          <w:color w:val="000000"/>
        </w:rPr>
        <w:t>G</w:t>
      </w:r>
      <w:r w:rsidRPr="00C82E30">
        <w:rPr>
          <w:color w:val="000000"/>
        </w:rPr>
        <w:t>estor, destacada</w:t>
      </w:r>
      <w:r w:rsidR="00692D51">
        <w:rPr>
          <w:color w:val="000000"/>
        </w:rPr>
        <w:t>,</w:t>
      </w:r>
      <w:r w:rsidRPr="00C82E30">
        <w:rPr>
          <w:color w:val="000000"/>
        </w:rPr>
        <w:t xml:space="preserve"> mediante</w:t>
      </w:r>
      <w:r w:rsidR="009310E4">
        <w:rPr>
          <w:color w:val="000000"/>
        </w:rPr>
        <w:t xml:space="preserve"> a análise da</w:t>
      </w:r>
      <w:r w:rsidRPr="00C82E30">
        <w:rPr>
          <w:color w:val="000000"/>
        </w:rPr>
        <w:t xml:space="preserve"> viabilidade econômica anexada ao processo administrativo respectivo.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3º</w:t>
      </w:r>
      <w:r w:rsidR="008A22A4" w:rsidRPr="00C82E30">
        <w:rPr>
          <w:color w:val="000000"/>
        </w:rPr>
        <w:t>.</w:t>
      </w:r>
      <w:r w:rsidRPr="00C82E30">
        <w:rPr>
          <w:color w:val="000000"/>
        </w:rPr>
        <w:t xml:space="preserve"> Nas renovações de contratos de natureza continuada e de aluguel de imóvel, sem prejuízo das demais medidas disciplinadas neste Decreto, </w:t>
      </w:r>
      <w:r w:rsidR="00FF3ACD">
        <w:rPr>
          <w:color w:val="000000"/>
        </w:rPr>
        <w:t xml:space="preserve">outras </w:t>
      </w:r>
      <w:r w:rsidRPr="00C82E30">
        <w:rPr>
          <w:color w:val="000000"/>
        </w:rPr>
        <w:t xml:space="preserve">deverão ser adotadas junto às contratadas para repactuação, objetivando </w:t>
      </w:r>
      <w:r w:rsidR="00FF3ACD">
        <w:rPr>
          <w:color w:val="000000"/>
        </w:rPr>
        <w:t xml:space="preserve">a </w:t>
      </w:r>
      <w:r w:rsidRPr="00C82E30">
        <w:rPr>
          <w:color w:val="000000"/>
        </w:rPr>
        <w:t xml:space="preserve">redução do preço </w:t>
      </w:r>
      <w:r w:rsidR="009310E4">
        <w:rPr>
          <w:color w:val="000000"/>
        </w:rPr>
        <w:t xml:space="preserve">originalmente </w:t>
      </w:r>
      <w:r w:rsidR="00FF3ACD">
        <w:rPr>
          <w:color w:val="000000"/>
        </w:rPr>
        <w:t xml:space="preserve">pactuado </w:t>
      </w:r>
      <w:r w:rsidR="009310E4">
        <w:rPr>
          <w:color w:val="000000"/>
        </w:rPr>
        <w:t xml:space="preserve">e/ou </w:t>
      </w:r>
      <w:r w:rsidRPr="00C82E30">
        <w:rPr>
          <w:color w:val="000000"/>
        </w:rPr>
        <w:t xml:space="preserve">renúncia à aplicação da cláusula de reajuste, sempre que demonstrada a inviabilidade de nova licitação e a </w:t>
      </w:r>
      <w:proofErr w:type="spellStart"/>
      <w:r w:rsidRPr="00C82E30">
        <w:rPr>
          <w:color w:val="000000"/>
        </w:rPr>
        <w:t>vantajosidade</w:t>
      </w:r>
      <w:proofErr w:type="spellEnd"/>
      <w:r w:rsidRPr="00C82E30">
        <w:rPr>
          <w:color w:val="000000"/>
        </w:rPr>
        <w:t xml:space="preserve"> da negociação, visando alcançar o nivelamento de preços praticados em contratos afins no âmbito do </w:t>
      </w:r>
      <w:r w:rsidR="009310E4">
        <w:rPr>
          <w:color w:val="000000"/>
        </w:rPr>
        <w:t>Poder Executivo</w:t>
      </w:r>
      <w:r w:rsidRPr="00C82E30">
        <w:rPr>
          <w:color w:val="000000"/>
        </w:rPr>
        <w:t>.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4º</w:t>
      </w:r>
      <w:r w:rsidR="008A22A4" w:rsidRPr="00C82E30">
        <w:rPr>
          <w:color w:val="000000"/>
        </w:rPr>
        <w:t>.</w:t>
      </w:r>
      <w:r w:rsidRPr="00C82E30">
        <w:rPr>
          <w:color w:val="000000"/>
        </w:rPr>
        <w:t xml:space="preserve"> 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e as </w:t>
      </w:r>
      <w:r w:rsidR="009310E4">
        <w:rPr>
          <w:color w:val="000000"/>
        </w:rPr>
        <w:t>Entidades</w:t>
      </w:r>
      <w:r w:rsidRPr="00C82E30">
        <w:rPr>
          <w:color w:val="000000"/>
        </w:rPr>
        <w:t xml:space="preserve"> da </w:t>
      </w:r>
      <w:r w:rsidR="009310E4">
        <w:rPr>
          <w:color w:val="000000"/>
        </w:rPr>
        <w:t>Administração Pública Estadual</w:t>
      </w:r>
      <w:r w:rsidRPr="00C82E30">
        <w:rPr>
          <w:color w:val="000000"/>
        </w:rPr>
        <w:t xml:space="preserve"> deverão apresentar seus planos individuais de redução de despesas com custeio à Comissão Per</w:t>
      </w:r>
      <w:r w:rsidR="009310E4">
        <w:rPr>
          <w:color w:val="000000"/>
        </w:rPr>
        <w:t>manente de que trata o art</w:t>
      </w:r>
      <w:r w:rsidR="00FF3ACD">
        <w:rPr>
          <w:color w:val="000000"/>
        </w:rPr>
        <w:t>igo</w:t>
      </w:r>
      <w:r w:rsidR="009310E4">
        <w:rPr>
          <w:color w:val="000000"/>
        </w:rPr>
        <w:t xml:space="preserve"> 9º,</w:t>
      </w:r>
      <w:r w:rsidRPr="00C82E30">
        <w:rPr>
          <w:color w:val="000000"/>
        </w:rPr>
        <w:t xml:space="preserve"> deste Decreto, no prazo máximo de 20 (vinte) dias a contar</w:t>
      </w:r>
      <w:r w:rsidR="009310E4">
        <w:rPr>
          <w:color w:val="000000"/>
        </w:rPr>
        <w:t xml:space="preserve"> da data de</w:t>
      </w:r>
      <w:r w:rsidRPr="00C82E30">
        <w:rPr>
          <w:color w:val="000000"/>
        </w:rPr>
        <w:t xml:space="preserve"> publicação no Diário Oficial do Estado, </w:t>
      </w:r>
      <w:r w:rsidRPr="00C82E30">
        <w:rPr>
          <w:color w:val="000000"/>
        </w:rPr>
        <w:lastRenderedPageBreak/>
        <w:t xml:space="preserve">contendo a definição clara e objetiva das medidas propostas, detalhando os totais projetados </w:t>
      </w:r>
      <w:r w:rsidR="009310E4">
        <w:rPr>
          <w:color w:val="000000"/>
        </w:rPr>
        <w:t>à</w:t>
      </w:r>
      <w:r w:rsidRPr="00C82E30">
        <w:rPr>
          <w:color w:val="000000"/>
        </w:rPr>
        <w:t xml:space="preserve"> redução das despesas de custeio e serviços contratados, bem como a respectiva reavaliação das licitações em curso e daquelas ainda a serem instauradas. </w:t>
      </w:r>
    </w:p>
    <w:p w:rsidR="007E02F9" w:rsidRPr="00C82E30" w:rsidRDefault="007E02F9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5º</w:t>
      </w:r>
      <w:r w:rsidR="008A22A4" w:rsidRPr="00C82E30">
        <w:rPr>
          <w:color w:val="000000"/>
        </w:rPr>
        <w:t>.</w:t>
      </w:r>
      <w:r w:rsidRPr="00C82E30">
        <w:rPr>
          <w:color w:val="000000"/>
        </w:rPr>
        <w:t xml:space="preserve"> Fica vedada a celebração de convênios e/ou contratos que tenham por finalidade a realização de projetos específicos</w:t>
      </w:r>
      <w:r w:rsidR="009310E4">
        <w:rPr>
          <w:color w:val="000000"/>
        </w:rPr>
        <w:t xml:space="preserve"> e</w:t>
      </w:r>
      <w:r w:rsidRPr="00C82E30">
        <w:rPr>
          <w:color w:val="000000"/>
        </w:rPr>
        <w:t xml:space="preserve"> que envolvam transferências de recursos do orçamento fiscal e da seguridade social com a finalidade de custear despesas com combustíveis, passagens, diár</w:t>
      </w:r>
      <w:r w:rsidR="009E2390">
        <w:rPr>
          <w:color w:val="000000"/>
        </w:rPr>
        <w:t>ias</w:t>
      </w:r>
      <w:r w:rsidR="009310E4">
        <w:rPr>
          <w:color w:val="000000"/>
        </w:rPr>
        <w:t xml:space="preserve"> nacionais e internacionais</w:t>
      </w:r>
      <w:r w:rsidR="009E2390">
        <w:rPr>
          <w:color w:val="000000"/>
        </w:rPr>
        <w:t>,</w:t>
      </w:r>
      <w:r w:rsidRPr="00C82E30">
        <w:rPr>
          <w:color w:val="000000"/>
        </w:rPr>
        <w:t xml:space="preserve"> para participação em eventos ou cumprimento de metas de qualquer natureza.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Art. 2º</w:t>
      </w:r>
      <w:r w:rsidR="008A22A4" w:rsidRPr="00C82E30">
        <w:rPr>
          <w:color w:val="000000"/>
        </w:rPr>
        <w:t>.</w:t>
      </w:r>
      <w:r w:rsidRPr="00C82E30">
        <w:rPr>
          <w:color w:val="000000"/>
        </w:rPr>
        <w:t xml:space="preserve"> Em relação aos contratos e às contas de energia elétrica, 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da </w:t>
      </w:r>
      <w:r w:rsidR="009310E4">
        <w:rPr>
          <w:color w:val="000000"/>
        </w:rPr>
        <w:t>Administração Pública Estadual</w:t>
      </w:r>
      <w:r w:rsidRPr="00C82E30">
        <w:rPr>
          <w:color w:val="000000"/>
        </w:rPr>
        <w:t xml:space="preserve"> </w:t>
      </w:r>
      <w:r w:rsidR="009310E4">
        <w:rPr>
          <w:color w:val="000000"/>
        </w:rPr>
        <w:t>D</w:t>
      </w:r>
      <w:r w:rsidRPr="00C82E30">
        <w:rPr>
          <w:color w:val="000000"/>
        </w:rPr>
        <w:t xml:space="preserve">ireta, </w:t>
      </w:r>
      <w:r w:rsidR="009310E4">
        <w:rPr>
          <w:color w:val="000000"/>
        </w:rPr>
        <w:t>A</w:t>
      </w:r>
      <w:r w:rsidRPr="00C82E30">
        <w:rPr>
          <w:color w:val="000000"/>
        </w:rPr>
        <w:t xml:space="preserve">utárquica e </w:t>
      </w:r>
      <w:r w:rsidR="009310E4">
        <w:rPr>
          <w:color w:val="000000"/>
        </w:rPr>
        <w:t>F</w:t>
      </w:r>
      <w:r w:rsidRPr="00C82E30">
        <w:rPr>
          <w:color w:val="000000"/>
        </w:rPr>
        <w:t>undacional, apoiados e supervisionados pela Superintendência de Gestão dos Gastos Públicos Administrativos - SUGESP, deverão: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I</w:t>
      </w:r>
      <w:r w:rsidRPr="00C82E30">
        <w:rPr>
          <w:color w:val="000000"/>
        </w:rPr>
        <w:tab/>
        <w:t xml:space="preserve">- inserir suas unidades consumidoras no Sistema Informatizado instituído pelo </w:t>
      </w:r>
      <w:r w:rsidR="009310E4">
        <w:rPr>
          <w:color w:val="000000"/>
        </w:rPr>
        <w:t>Poder Executivo</w:t>
      </w:r>
      <w:r w:rsidRPr="00C82E30">
        <w:rPr>
          <w:color w:val="000000"/>
        </w:rPr>
        <w:t>, passando a manter controle permanente do consumo na ponta, fora de ponta, da demanda contratada e da tarifação horo-sazonal equivalente aos horários de 18h</w:t>
      </w:r>
      <w:r w:rsidR="009310E4">
        <w:rPr>
          <w:color w:val="000000"/>
        </w:rPr>
        <w:t xml:space="preserve"> (dezoito horas)</w:t>
      </w:r>
      <w:r w:rsidRPr="00C82E30">
        <w:rPr>
          <w:color w:val="000000"/>
        </w:rPr>
        <w:t xml:space="preserve"> às 21h</w:t>
      </w:r>
      <w:r w:rsidR="009310E4">
        <w:rPr>
          <w:color w:val="000000"/>
        </w:rPr>
        <w:t xml:space="preserve"> (vinte e uma horas)</w:t>
      </w:r>
      <w:r w:rsidRPr="00C82E30">
        <w:rPr>
          <w:color w:val="000000"/>
        </w:rPr>
        <w:t>, para eliminar cobranças adicionais, caso aplicável, procedendo com as respectivas intervenções corretivas em função das metas estabelecidas;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II</w:t>
      </w:r>
      <w:r w:rsidR="008A22A4" w:rsidRPr="00C82E30">
        <w:rPr>
          <w:color w:val="000000"/>
        </w:rPr>
        <w:t xml:space="preserve"> </w:t>
      </w:r>
      <w:r w:rsidRPr="00C82E30">
        <w:rPr>
          <w:color w:val="000000"/>
        </w:rPr>
        <w:t xml:space="preserve">- analisar a adequação da demanda contratada e do enquadramento tarifário e proceder </w:t>
      </w:r>
      <w:r w:rsidR="007D2F25">
        <w:rPr>
          <w:color w:val="000000"/>
        </w:rPr>
        <w:t>as</w:t>
      </w:r>
      <w:r w:rsidRPr="00C82E30">
        <w:rPr>
          <w:color w:val="000000"/>
        </w:rPr>
        <w:t xml:space="preserve"> alterações contratuais necessárias para reduzir as despesas com energia, analisando-se, inclusive, a viabilidade de substituição e/ou </w:t>
      </w:r>
      <w:r w:rsidR="009310E4">
        <w:rPr>
          <w:color w:val="000000"/>
        </w:rPr>
        <w:t xml:space="preserve">de </w:t>
      </w:r>
      <w:r w:rsidRPr="00C82E30">
        <w:rPr>
          <w:color w:val="000000"/>
        </w:rPr>
        <w:t>complementação de energia por outras fontes sustentáveis;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III</w:t>
      </w:r>
      <w:r w:rsidR="008A22A4" w:rsidRPr="00C82E30">
        <w:rPr>
          <w:color w:val="000000"/>
        </w:rPr>
        <w:t xml:space="preserve"> </w:t>
      </w:r>
      <w:r w:rsidRPr="00C82E30">
        <w:rPr>
          <w:color w:val="000000"/>
        </w:rPr>
        <w:t xml:space="preserve">- analisar a viabilidade de migração do fornecimento em média e baixa tensão, consoante </w:t>
      </w:r>
      <w:r w:rsidR="00FF3ACD">
        <w:rPr>
          <w:color w:val="000000"/>
        </w:rPr>
        <w:t>à</w:t>
      </w:r>
      <w:r w:rsidRPr="00C82E30">
        <w:rPr>
          <w:color w:val="000000"/>
        </w:rPr>
        <w:t>s necessidades das unidades consumidoras;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IV</w:t>
      </w:r>
      <w:r w:rsidR="008A22A4" w:rsidRPr="00C82E30">
        <w:rPr>
          <w:color w:val="000000"/>
        </w:rPr>
        <w:t xml:space="preserve"> </w:t>
      </w:r>
      <w:r w:rsidRPr="00C82E30">
        <w:rPr>
          <w:color w:val="000000"/>
        </w:rPr>
        <w:t xml:space="preserve">- implementar ações com o objetivo de reduzir o consumo de energia, especialmente no horário de ponta definido pela concessionária </w:t>
      </w:r>
      <w:r w:rsidR="009310E4">
        <w:rPr>
          <w:color w:val="000000"/>
        </w:rPr>
        <w:t>e</w:t>
      </w:r>
      <w:r w:rsidR="001F00CA">
        <w:rPr>
          <w:color w:val="000000"/>
        </w:rPr>
        <w:t>,</w:t>
      </w:r>
      <w:r w:rsidR="009310E4">
        <w:rPr>
          <w:color w:val="000000"/>
        </w:rPr>
        <w:t xml:space="preserve"> </w:t>
      </w:r>
      <w:r w:rsidRPr="00C82E30">
        <w:rPr>
          <w:color w:val="000000"/>
        </w:rPr>
        <w:t>obrigatoriamente</w:t>
      </w:r>
      <w:r w:rsidR="00897B2E">
        <w:rPr>
          <w:color w:val="000000"/>
        </w:rPr>
        <w:t>,</w:t>
      </w:r>
      <w:r w:rsidRPr="00C82E30">
        <w:rPr>
          <w:color w:val="000000"/>
        </w:rPr>
        <w:t xml:space="preserve"> determina</w:t>
      </w:r>
      <w:r w:rsidR="009310E4">
        <w:rPr>
          <w:color w:val="000000"/>
        </w:rPr>
        <w:t>r</w:t>
      </w:r>
      <w:r w:rsidRPr="00C82E30">
        <w:rPr>
          <w:color w:val="000000"/>
        </w:rPr>
        <w:t xml:space="preserve"> a interrupção d</w:t>
      </w:r>
      <w:r w:rsidR="001F00CA">
        <w:rPr>
          <w:color w:val="000000"/>
        </w:rPr>
        <w:t>o</w:t>
      </w:r>
      <w:r w:rsidRPr="00C82E30">
        <w:rPr>
          <w:color w:val="000000"/>
        </w:rPr>
        <w:t xml:space="preserve"> funcionamento d</w:t>
      </w:r>
      <w:r w:rsidR="001F00CA">
        <w:rPr>
          <w:color w:val="000000"/>
        </w:rPr>
        <w:t>os</w:t>
      </w:r>
      <w:r w:rsidRPr="00C82E30">
        <w:rPr>
          <w:color w:val="000000"/>
        </w:rPr>
        <w:t xml:space="preserve"> equipamentos e </w:t>
      </w:r>
      <w:r w:rsidR="001F00CA">
        <w:rPr>
          <w:color w:val="000000"/>
        </w:rPr>
        <w:t xml:space="preserve">das </w:t>
      </w:r>
      <w:r w:rsidRPr="00C82E30">
        <w:rPr>
          <w:color w:val="000000"/>
        </w:rPr>
        <w:t xml:space="preserve">redes elétricas não essenciais e que não causem prejuízos nos respectivos horários dispendiosos, </w:t>
      </w:r>
      <w:r w:rsidR="009310E4">
        <w:rPr>
          <w:color w:val="000000"/>
        </w:rPr>
        <w:t>sobretudo</w:t>
      </w:r>
      <w:r w:rsidRPr="00C82E30">
        <w:rPr>
          <w:color w:val="000000"/>
        </w:rPr>
        <w:t xml:space="preserve"> no período das 18h</w:t>
      </w:r>
      <w:r w:rsidR="009310E4">
        <w:rPr>
          <w:color w:val="000000"/>
        </w:rPr>
        <w:t xml:space="preserve"> (dezoito horas)</w:t>
      </w:r>
      <w:r w:rsidRPr="00C82E30">
        <w:rPr>
          <w:color w:val="000000"/>
        </w:rPr>
        <w:t xml:space="preserve"> às 21h</w:t>
      </w:r>
      <w:r w:rsidR="009310E4">
        <w:rPr>
          <w:color w:val="000000"/>
        </w:rPr>
        <w:t xml:space="preserve"> (vinte e uma horas)</w:t>
      </w:r>
      <w:r w:rsidRPr="00C82E30">
        <w:rPr>
          <w:color w:val="000000"/>
        </w:rPr>
        <w:t>;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V</w:t>
      </w:r>
      <w:r w:rsidR="008A22A4" w:rsidRPr="00C82E30">
        <w:rPr>
          <w:color w:val="000000"/>
        </w:rPr>
        <w:t xml:space="preserve"> </w:t>
      </w:r>
      <w:r w:rsidRPr="00C82E30">
        <w:rPr>
          <w:color w:val="000000"/>
        </w:rPr>
        <w:t>- em todas as unidades de consumo de energia elétrica, avaliar as condições físicas das instalações,</w:t>
      </w:r>
      <w:r w:rsidR="008A22A4" w:rsidRPr="00C82E30">
        <w:rPr>
          <w:color w:val="000000"/>
        </w:rPr>
        <w:t xml:space="preserve"> </w:t>
      </w:r>
      <w:r w:rsidRPr="00C82E30">
        <w:rPr>
          <w:color w:val="000000"/>
        </w:rPr>
        <w:t>fiação e equipamentos, buscando identificar os pontos nos quais exista a necessidade de adequa</w:t>
      </w:r>
      <w:r w:rsidR="009310E4">
        <w:rPr>
          <w:color w:val="000000"/>
        </w:rPr>
        <w:t>r</w:t>
      </w:r>
      <w:r w:rsidRPr="00C82E30">
        <w:rPr>
          <w:color w:val="000000"/>
        </w:rPr>
        <w:t xml:space="preserve"> e</w:t>
      </w:r>
      <w:r w:rsidR="008A22A4" w:rsidRPr="00C82E30">
        <w:rPr>
          <w:color w:val="000000"/>
        </w:rPr>
        <w:t xml:space="preserve"> </w:t>
      </w:r>
      <w:r w:rsidRPr="00C82E30">
        <w:rPr>
          <w:color w:val="000000"/>
        </w:rPr>
        <w:t>elimina</w:t>
      </w:r>
      <w:r w:rsidR="009310E4">
        <w:rPr>
          <w:color w:val="000000"/>
        </w:rPr>
        <w:t>r</w:t>
      </w:r>
      <w:r w:rsidRPr="00C82E30">
        <w:rPr>
          <w:color w:val="000000"/>
        </w:rPr>
        <w:t xml:space="preserve"> desperdício</w:t>
      </w:r>
      <w:r w:rsidR="009310E4">
        <w:rPr>
          <w:color w:val="000000"/>
        </w:rPr>
        <w:t>s</w:t>
      </w:r>
      <w:r w:rsidR="00E364B6">
        <w:rPr>
          <w:color w:val="000000"/>
        </w:rPr>
        <w:t xml:space="preserve"> mediante</w:t>
      </w:r>
      <w:r w:rsidRPr="00C82E30">
        <w:rPr>
          <w:color w:val="000000"/>
        </w:rPr>
        <w:t xml:space="preserve"> a substituição ou redesenho de uso, optando pelas melhores</w:t>
      </w:r>
      <w:r w:rsidR="008A22A4" w:rsidRPr="00C82E30">
        <w:rPr>
          <w:color w:val="000000"/>
        </w:rPr>
        <w:t xml:space="preserve"> </w:t>
      </w:r>
      <w:r w:rsidRPr="00C82E30">
        <w:rPr>
          <w:color w:val="000000"/>
        </w:rPr>
        <w:t>práticas para atingir a meta;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VI</w:t>
      </w:r>
      <w:r w:rsidR="008A22A4" w:rsidRPr="00C82E30">
        <w:rPr>
          <w:color w:val="000000"/>
        </w:rPr>
        <w:t xml:space="preserve"> </w:t>
      </w:r>
      <w:r w:rsidRPr="00C82E30">
        <w:rPr>
          <w:color w:val="000000"/>
        </w:rPr>
        <w:t xml:space="preserve">- implantar medidas internas de eficiência que propiciem maior eficácia na utilização de energia elétrica, promovendo a análise das potencialidades de redução do consumo e a conscientização e motivação dos servidores e usuários, </w:t>
      </w:r>
      <w:r w:rsidR="00E364B6">
        <w:rPr>
          <w:color w:val="000000"/>
        </w:rPr>
        <w:t>por meio de</w:t>
      </w:r>
      <w:r w:rsidRPr="00C82E30">
        <w:rPr>
          <w:color w:val="000000"/>
        </w:rPr>
        <w:t xml:space="preserve"> campanhas educativas e disseminação de informações relativas ao uso racional;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VII</w:t>
      </w:r>
      <w:r w:rsidR="008A22A4" w:rsidRPr="00C82E30">
        <w:rPr>
          <w:color w:val="000000"/>
        </w:rPr>
        <w:t xml:space="preserve"> </w:t>
      </w:r>
      <w:r w:rsidRPr="00C82E30">
        <w:rPr>
          <w:color w:val="000000"/>
        </w:rPr>
        <w:t xml:space="preserve">- manter o pagamento de todas as faturas em débito automático, garantindo a destinação dos recursos para este fim na data de vencimento, bem como a correta e imediata contabilização, eliminando ônus de cobrança de multas, juros e demais encargos, aí incluídas as correções monetárias IGPM, multas por atraso e juros de mora de importe/serviço que, se preexistentes, devem </w:t>
      </w:r>
      <w:r w:rsidR="00E364B6">
        <w:rPr>
          <w:color w:val="000000"/>
        </w:rPr>
        <w:t>s</w:t>
      </w:r>
      <w:r w:rsidRPr="00C82E30">
        <w:rPr>
          <w:color w:val="000000"/>
        </w:rPr>
        <w:t xml:space="preserve">er adotadas providências </w:t>
      </w:r>
      <w:r w:rsidR="00E364B6">
        <w:rPr>
          <w:color w:val="000000"/>
        </w:rPr>
        <w:t>tencionando</w:t>
      </w:r>
      <w:r w:rsidRPr="00C82E30">
        <w:rPr>
          <w:color w:val="000000"/>
        </w:rPr>
        <w:t xml:space="preserve"> a regularização imediata das pendências;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VIII</w:t>
      </w:r>
      <w:r w:rsidR="008A22A4" w:rsidRPr="00C82E30">
        <w:rPr>
          <w:color w:val="000000"/>
        </w:rPr>
        <w:t xml:space="preserve"> </w:t>
      </w:r>
      <w:r w:rsidRPr="00C82E30">
        <w:rPr>
          <w:color w:val="000000"/>
        </w:rPr>
        <w:t>- implementar ações práticas para redu</w:t>
      </w:r>
      <w:r w:rsidR="00E364B6">
        <w:rPr>
          <w:color w:val="000000"/>
        </w:rPr>
        <w:t>zir</w:t>
      </w:r>
      <w:r w:rsidRPr="00C82E30">
        <w:rPr>
          <w:color w:val="000000"/>
        </w:rPr>
        <w:t xml:space="preserve"> o consumo</w:t>
      </w:r>
      <w:r w:rsidR="001F00CA">
        <w:rPr>
          <w:color w:val="000000"/>
        </w:rPr>
        <w:t>, por meio da</w:t>
      </w:r>
      <w:r w:rsidRPr="00C82E30">
        <w:rPr>
          <w:color w:val="000000"/>
        </w:rPr>
        <w:t xml:space="preserve"> aquisição de equipamentos com maior eficiência de consumo de energia elétrica, priorizando os produtos homologados pelo </w:t>
      </w:r>
      <w:r w:rsidRPr="00C82E30">
        <w:rPr>
          <w:color w:val="000000"/>
        </w:rPr>
        <w:lastRenderedPageBreak/>
        <w:t xml:space="preserve">INMETRO e certificados com </w:t>
      </w:r>
      <w:r w:rsidR="001F00CA">
        <w:rPr>
          <w:color w:val="000000"/>
        </w:rPr>
        <w:t>S</w:t>
      </w:r>
      <w:r w:rsidRPr="00C82E30">
        <w:rPr>
          <w:color w:val="000000"/>
        </w:rPr>
        <w:t>elo PROCEL A, bem como adequa</w:t>
      </w:r>
      <w:r w:rsidR="00E364B6">
        <w:rPr>
          <w:color w:val="000000"/>
        </w:rPr>
        <w:t>r</w:t>
      </w:r>
      <w:r w:rsidRPr="00C82E30">
        <w:rPr>
          <w:color w:val="000000"/>
        </w:rPr>
        <w:t xml:space="preserve"> projetos de engenharia que resultem em maior eficiência energética e implanta</w:t>
      </w:r>
      <w:r w:rsidR="00E364B6">
        <w:rPr>
          <w:color w:val="000000"/>
        </w:rPr>
        <w:t>r</w:t>
      </w:r>
      <w:r w:rsidRPr="00C82E30">
        <w:rPr>
          <w:color w:val="000000"/>
        </w:rPr>
        <w:t xml:space="preserve"> rotinas que proporcionem</w:t>
      </w:r>
      <w:r w:rsidR="00E364B6">
        <w:rPr>
          <w:color w:val="000000"/>
        </w:rPr>
        <w:t xml:space="preserve"> </w:t>
      </w:r>
      <w:r w:rsidRPr="00C82E30">
        <w:rPr>
          <w:color w:val="000000"/>
        </w:rPr>
        <w:t>otimiza</w:t>
      </w:r>
      <w:r w:rsidR="00E364B6">
        <w:rPr>
          <w:color w:val="000000"/>
        </w:rPr>
        <w:t>r</w:t>
      </w:r>
      <w:r w:rsidRPr="00C82E30">
        <w:rPr>
          <w:color w:val="000000"/>
        </w:rPr>
        <w:t xml:space="preserve"> gastos, vedando-se o prosseguimento de contratações relacionadas sem a prévia análise de viabilidade emitida pela equipe de eficiência energética da Superintendência de Gestão dos Gastos Públicos Administrativos - SUGESP; e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IX</w:t>
      </w:r>
      <w:r w:rsidR="008A22A4" w:rsidRPr="00C82E30">
        <w:rPr>
          <w:color w:val="000000"/>
        </w:rPr>
        <w:t xml:space="preserve"> </w:t>
      </w:r>
      <w:r w:rsidR="00E364B6">
        <w:rPr>
          <w:color w:val="000000"/>
        </w:rPr>
        <w:t>- estabelecer meta de redução do consumo de</w:t>
      </w:r>
      <w:r w:rsidRPr="00C82E30">
        <w:rPr>
          <w:color w:val="000000"/>
        </w:rPr>
        <w:t xml:space="preserve"> energia elétrica, quantificável e verificável, considerando as especificações das unidades de consumo e sua</w:t>
      </w:r>
      <w:r w:rsidR="00E364B6">
        <w:rPr>
          <w:color w:val="000000"/>
        </w:rPr>
        <w:t>s</w:t>
      </w:r>
      <w:r w:rsidRPr="00C82E30">
        <w:rPr>
          <w:color w:val="000000"/>
        </w:rPr>
        <w:t xml:space="preserve"> finalidade</w:t>
      </w:r>
      <w:r w:rsidR="00E364B6">
        <w:rPr>
          <w:color w:val="000000"/>
        </w:rPr>
        <w:t>s</w:t>
      </w:r>
      <w:r w:rsidRPr="00C82E30">
        <w:rPr>
          <w:color w:val="000000"/>
        </w:rPr>
        <w:t>, tendo com</w:t>
      </w:r>
      <w:r w:rsidR="00E364B6">
        <w:rPr>
          <w:color w:val="000000"/>
        </w:rPr>
        <w:t>o</w:t>
      </w:r>
      <w:r w:rsidRPr="00C82E30">
        <w:rPr>
          <w:color w:val="000000"/>
        </w:rPr>
        <w:t xml:space="preserve"> base o ano de 2015, obedecendo-se ao mínimo estabelecido no Anexo II.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 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1º</w:t>
      </w:r>
      <w:r w:rsidR="008A22A4" w:rsidRPr="00C82E30">
        <w:rPr>
          <w:color w:val="000000"/>
        </w:rPr>
        <w:t>.</w:t>
      </w:r>
      <w:r w:rsidRPr="00C82E30">
        <w:rPr>
          <w:color w:val="000000"/>
        </w:rPr>
        <w:t xml:space="preserve"> Para fins de cumprimento do inciso VIII</w:t>
      </w:r>
      <w:r w:rsidR="00E364B6">
        <w:rPr>
          <w:color w:val="000000"/>
        </w:rPr>
        <w:t>,</w:t>
      </w:r>
      <w:r w:rsidRPr="00C82E30">
        <w:rPr>
          <w:color w:val="000000"/>
        </w:rPr>
        <w:t xml:space="preserve"> deste artigo, 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deverão encaminhar à Superintendência de Gestão de Gastos Públicos Administrativos - SUGESP os processos relativos às aquisições de materiais elétricos ou obras e serviços de engenharia dedicados às manutenções prediais e revitalizações que contemplem intervenções ou estruturas elétricas, devidamente instruídos consoante determi</w:t>
      </w:r>
      <w:r w:rsidR="00E364B6">
        <w:rPr>
          <w:color w:val="000000"/>
        </w:rPr>
        <w:t>na a legislação, para análise da</w:t>
      </w:r>
      <w:r w:rsidRPr="00C82E30">
        <w:rPr>
          <w:color w:val="000000"/>
        </w:rPr>
        <w:t xml:space="preserve"> viabilidade, no prazo máximo de 5 (cinco) dias úteis a contar do recebimento, salvo nos casos de comprovada indisponibilidade.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2º</w:t>
      </w:r>
      <w:r w:rsidR="008A22A4" w:rsidRPr="00C82E30">
        <w:rPr>
          <w:color w:val="000000"/>
        </w:rPr>
        <w:t>.</w:t>
      </w:r>
      <w:r w:rsidRPr="00C82E30">
        <w:rPr>
          <w:color w:val="000000"/>
        </w:rPr>
        <w:t xml:space="preserve"> 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deverão agendar com a Superintendência de Gestão de Gastos Púb</w:t>
      </w:r>
      <w:r w:rsidR="00E364B6">
        <w:rPr>
          <w:color w:val="000000"/>
        </w:rPr>
        <w:t>licos Administrativos - SUGESP</w:t>
      </w:r>
      <w:r w:rsidRPr="00C82E30">
        <w:rPr>
          <w:color w:val="000000"/>
        </w:rPr>
        <w:t xml:space="preserve"> visita da </w:t>
      </w:r>
      <w:r w:rsidR="008251B5">
        <w:rPr>
          <w:color w:val="000000"/>
        </w:rPr>
        <w:t>E</w:t>
      </w:r>
      <w:r w:rsidRPr="00C82E30">
        <w:rPr>
          <w:color w:val="000000"/>
        </w:rPr>
        <w:t xml:space="preserve">quipe de </w:t>
      </w:r>
      <w:r w:rsidR="008251B5">
        <w:rPr>
          <w:color w:val="000000"/>
        </w:rPr>
        <w:t>E</w:t>
      </w:r>
      <w:r w:rsidRPr="00C82E30">
        <w:rPr>
          <w:color w:val="000000"/>
        </w:rPr>
        <w:t xml:space="preserve">ficiência </w:t>
      </w:r>
      <w:r w:rsidR="008251B5">
        <w:rPr>
          <w:color w:val="000000"/>
        </w:rPr>
        <w:t>E</w:t>
      </w:r>
      <w:r w:rsidRPr="00C82E30">
        <w:rPr>
          <w:color w:val="000000"/>
        </w:rPr>
        <w:t>nergética</w:t>
      </w:r>
      <w:r w:rsidR="008251B5">
        <w:rPr>
          <w:color w:val="000000"/>
        </w:rPr>
        <w:t>,</w:t>
      </w:r>
      <w:r w:rsidRPr="00C82E30">
        <w:rPr>
          <w:color w:val="000000"/>
        </w:rPr>
        <w:t xml:space="preserve"> nas unidades consumidoras e estabelecer cronograma que contemple as ações corretivas, mensurando os resultados alcançados.</w:t>
      </w:r>
    </w:p>
    <w:p w:rsidR="008A22A4" w:rsidRPr="00C82E30" w:rsidRDefault="008A22A4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Art. 3º. A utilização dos serviços de telefonia móvel com ônus para o Estado de Rondônia, obedecerão aos limites mensais, não cumulativos, estabelecidos no Anexo III, ficando restrita, além do Governador e do Vice-Governador, às seguintes autoridades e ocupantes dos cargos: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I</w:t>
      </w:r>
      <w:r w:rsidRPr="00C82E30">
        <w:rPr>
          <w:color w:val="000000"/>
        </w:rPr>
        <w:tab/>
        <w:t>- Chefe da Casa Civil, Chefe da Casa Militar, Secretários de Estado, Superintendentes, Procurador</w:t>
      </w:r>
      <w:r w:rsidR="008251B5">
        <w:rPr>
          <w:color w:val="000000"/>
        </w:rPr>
        <w:t>-Geral do Estado,</w:t>
      </w:r>
      <w:r w:rsidRPr="00C82E30">
        <w:rPr>
          <w:color w:val="000000"/>
        </w:rPr>
        <w:t xml:space="preserve"> Controlador-Geral do Estado, Secretário Executivo do Gabinete do Governador, dirigentes de Autarquias, Empresas e Fundações Públicas, Comandante-Geral da Polícia Militar, Comandante</w:t>
      </w:r>
      <w:r w:rsidR="008251B5">
        <w:rPr>
          <w:color w:val="000000"/>
        </w:rPr>
        <w:t xml:space="preserve">-Geral </w:t>
      </w:r>
      <w:r w:rsidRPr="00C82E30">
        <w:rPr>
          <w:color w:val="000000"/>
        </w:rPr>
        <w:t>do Corpo de Bombeiros</w:t>
      </w:r>
      <w:r w:rsidR="008251B5">
        <w:rPr>
          <w:color w:val="000000"/>
        </w:rPr>
        <w:t xml:space="preserve"> Militar</w:t>
      </w:r>
      <w:r w:rsidRPr="00C82E30">
        <w:rPr>
          <w:color w:val="000000"/>
        </w:rPr>
        <w:t>, Delegado-Geral da Polícia Civi</w:t>
      </w:r>
      <w:r w:rsidR="008251B5">
        <w:rPr>
          <w:color w:val="000000"/>
        </w:rPr>
        <w:t>l e</w:t>
      </w:r>
      <w:r w:rsidRPr="00C82E30">
        <w:rPr>
          <w:color w:val="000000"/>
        </w:rPr>
        <w:t xml:space="preserve"> Secretários Regionais de Governo;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II - Secretários Adjuntos, equivalentes, Ouvidor</w:t>
      </w:r>
      <w:r w:rsidR="00E364B6">
        <w:rPr>
          <w:color w:val="000000"/>
        </w:rPr>
        <w:t>-</w:t>
      </w:r>
      <w:r w:rsidRPr="00C82E30">
        <w:rPr>
          <w:color w:val="000000"/>
        </w:rPr>
        <w:t>Geral e Chefes de Gabinete;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III - Diretores e equivalentes;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IV - Assessores de Comunicação, </w:t>
      </w:r>
      <w:r w:rsidR="008251B5">
        <w:rPr>
          <w:color w:val="000000"/>
        </w:rPr>
        <w:t>S</w:t>
      </w:r>
      <w:r w:rsidRPr="00C82E30">
        <w:rPr>
          <w:color w:val="000000"/>
        </w:rPr>
        <w:t xml:space="preserve">eguranças e </w:t>
      </w:r>
      <w:r w:rsidR="008251B5">
        <w:rPr>
          <w:color w:val="000000"/>
        </w:rPr>
        <w:t>A</w:t>
      </w:r>
      <w:r w:rsidRPr="00C82E30">
        <w:rPr>
          <w:color w:val="000000"/>
        </w:rPr>
        <w:t xml:space="preserve">judantes de </w:t>
      </w:r>
      <w:r w:rsidR="008251B5">
        <w:rPr>
          <w:color w:val="000000"/>
        </w:rPr>
        <w:t>O</w:t>
      </w:r>
      <w:r w:rsidRPr="00C82E30">
        <w:rPr>
          <w:color w:val="000000"/>
        </w:rPr>
        <w:t xml:space="preserve">rdem das autoridades mencionadas no </w:t>
      </w:r>
      <w:r w:rsidRPr="00E364B6">
        <w:rPr>
          <w:i/>
          <w:color w:val="000000"/>
        </w:rPr>
        <w:t>caput</w:t>
      </w:r>
      <w:r w:rsidRPr="00C82E30">
        <w:rPr>
          <w:color w:val="000000"/>
        </w:rPr>
        <w:t xml:space="preserve"> e nos incisos I e II</w:t>
      </w:r>
      <w:r w:rsidR="00E364B6">
        <w:rPr>
          <w:color w:val="000000"/>
        </w:rPr>
        <w:t>,</w:t>
      </w:r>
      <w:r w:rsidRPr="00C82E30">
        <w:rPr>
          <w:color w:val="000000"/>
        </w:rPr>
        <w:t xml:space="preserve"> deste artigo;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V - Delegados de Polícia;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VI - Motoristas das autoridades mencionadas no </w:t>
      </w:r>
      <w:r w:rsidRPr="00E364B6">
        <w:rPr>
          <w:i/>
          <w:color w:val="000000"/>
        </w:rPr>
        <w:t>caput</w:t>
      </w:r>
      <w:r w:rsidRPr="00C82E30">
        <w:rPr>
          <w:color w:val="000000"/>
        </w:rPr>
        <w:t xml:space="preserve"> e nos incisos I e II</w:t>
      </w:r>
      <w:r w:rsidR="00E364B6">
        <w:rPr>
          <w:color w:val="000000"/>
        </w:rPr>
        <w:t>,</w:t>
      </w:r>
      <w:r w:rsidRPr="00C82E30">
        <w:rPr>
          <w:color w:val="000000"/>
        </w:rPr>
        <w:t xml:space="preserve"> deste artigo, bem como os servidores com função específica e comprovada necessidade de uso de telefonia móvel, desde que justificado pelo Titular da </w:t>
      </w:r>
      <w:r w:rsidR="00E364B6">
        <w:rPr>
          <w:color w:val="000000"/>
        </w:rPr>
        <w:t>P</w:t>
      </w:r>
      <w:r w:rsidRPr="00C82E30">
        <w:rPr>
          <w:color w:val="000000"/>
        </w:rPr>
        <w:t>asta; e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04386A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VII - Gestores de contratos devidamente justificados e servidores com tácita comprovação de</w:t>
      </w:r>
      <w:r w:rsidR="0004386A">
        <w:rPr>
          <w:color w:val="000000"/>
        </w:rPr>
        <w:t xml:space="preserve"> </w:t>
      </w:r>
      <w:r w:rsidRPr="00C82E30">
        <w:rPr>
          <w:color w:val="000000"/>
        </w:rPr>
        <w:t>necessidade e viabilidade.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1º. Fica vedada a utilização de linha telefônica móvel por servidores que estiverem afastados regularmente do exercício do cargo.</w:t>
      </w:r>
    </w:p>
    <w:p w:rsidR="000D680B" w:rsidRPr="00C82E30" w:rsidRDefault="000D680B" w:rsidP="00C82E30">
      <w:pPr>
        <w:ind w:firstLine="567"/>
        <w:jc w:val="both"/>
        <w:rPr>
          <w:color w:val="000000"/>
        </w:rPr>
      </w:pPr>
    </w:p>
    <w:p w:rsidR="000503DD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2º. É vedada a transferência de uso do aparelho celular ou respectiva linha móvel a terceiros, sendo atribuído ao responsável o ônus sobre prejuízos com ligações indevidas e danos causados por uso inadequado.</w:t>
      </w:r>
    </w:p>
    <w:p w:rsidR="00E364B6" w:rsidRPr="00C82E30" w:rsidRDefault="00E364B6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3º.</w:t>
      </w:r>
      <w:r w:rsidR="00E364B6">
        <w:rPr>
          <w:color w:val="000000"/>
        </w:rPr>
        <w:t xml:space="preserve"> Os valores que excederem </w:t>
      </w:r>
      <w:r w:rsidRPr="00C82E30">
        <w:rPr>
          <w:color w:val="000000"/>
        </w:rPr>
        <w:t xml:space="preserve">os limites deverão ser ressarcidos ao </w:t>
      </w:r>
      <w:r w:rsidR="009310E4">
        <w:rPr>
          <w:color w:val="000000"/>
        </w:rPr>
        <w:t>Órgão</w:t>
      </w:r>
      <w:r w:rsidRPr="00C82E30">
        <w:rPr>
          <w:color w:val="000000"/>
        </w:rPr>
        <w:t xml:space="preserve"> pelo usuário do aparelho, salvo os devidamente justificados em razão de necessidade do serviço, mediante ateste da chefia imediata e autorização expressa da Superintendência de Gestão de Gastos Públicos Administrativos -SUGESP.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§ 4º. As ligações a partir de </w:t>
      </w:r>
      <w:r w:rsidR="008251B5">
        <w:rPr>
          <w:color w:val="000000"/>
        </w:rPr>
        <w:t xml:space="preserve">R$ </w:t>
      </w:r>
      <w:r w:rsidR="007A56BA">
        <w:rPr>
          <w:color w:val="000000"/>
        </w:rPr>
        <w:t>10,00 (dez</w:t>
      </w:r>
      <w:r w:rsidRPr="00C82E30">
        <w:rPr>
          <w:color w:val="000000"/>
        </w:rPr>
        <w:t xml:space="preserve"> reais</w:t>
      </w:r>
      <w:r w:rsidR="007A56BA">
        <w:rPr>
          <w:color w:val="000000"/>
        </w:rPr>
        <w:t>)</w:t>
      </w:r>
      <w:r w:rsidRPr="00C82E30">
        <w:rPr>
          <w:color w:val="000000"/>
        </w:rPr>
        <w:t xml:space="preserve"> serão fiscalizadas pela Superintendência de Gestão de Gastos Públicos Administrativos - SUGESP, bem como</w:t>
      </w:r>
      <w:r w:rsidR="00E364B6">
        <w:rPr>
          <w:color w:val="000000"/>
        </w:rPr>
        <w:t xml:space="preserve"> as</w:t>
      </w:r>
      <w:r w:rsidRPr="00C82E30">
        <w:rPr>
          <w:color w:val="000000"/>
        </w:rPr>
        <w:t xml:space="preserve"> ligações indevidas, independente do custo da ligação, as quais deverão ser justificadas ou ressarcidas quando não identificada a finalidade pública, no prazo máximo de 15 (quinze) dias</w:t>
      </w:r>
      <w:r w:rsidR="00463CCD">
        <w:rPr>
          <w:color w:val="000000"/>
        </w:rPr>
        <w:t xml:space="preserve"> </w:t>
      </w:r>
      <w:r w:rsidRPr="00C82E30">
        <w:rPr>
          <w:color w:val="000000"/>
        </w:rPr>
        <w:t xml:space="preserve">a contar do recebimento da notificação, </w:t>
      </w:r>
      <w:r w:rsidR="00E364B6">
        <w:rPr>
          <w:color w:val="000000"/>
        </w:rPr>
        <w:t>por meio</w:t>
      </w:r>
      <w:r w:rsidRPr="00C82E30">
        <w:rPr>
          <w:color w:val="000000"/>
        </w:rPr>
        <w:t xml:space="preserve"> de Documento de Arrecadação das Receitas Estaduais - DARE (código da receita 7187 - receitas de restituição).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Art. 4º. É de responsabilidade de cada </w:t>
      </w:r>
      <w:r w:rsidR="009310E4">
        <w:rPr>
          <w:color w:val="000000"/>
        </w:rPr>
        <w:t>Órgão</w:t>
      </w:r>
      <w:r w:rsidRPr="00C82E30">
        <w:rPr>
          <w:color w:val="000000"/>
        </w:rPr>
        <w:t xml:space="preserve"> o cumprimento de cota mínima de economia de 25% (vinte e cinco por cento) em passagens aéreas e concessão de diárias, autorizando somente as concessões que não possam ser adiadas sem prejuízo da finalidade pública ou com </w:t>
      </w:r>
      <w:proofErr w:type="spellStart"/>
      <w:r w:rsidRPr="00C82E30">
        <w:rPr>
          <w:color w:val="000000"/>
        </w:rPr>
        <w:t>vantajosidade</w:t>
      </w:r>
      <w:proofErr w:type="spellEnd"/>
      <w:r w:rsidRPr="00C82E30">
        <w:rPr>
          <w:color w:val="000000"/>
        </w:rPr>
        <w:t xml:space="preserve"> inequívoca.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§ 1º. É prerrogativa para </w:t>
      </w:r>
      <w:r w:rsidR="00463CCD">
        <w:rPr>
          <w:color w:val="000000"/>
        </w:rPr>
        <w:t xml:space="preserve">a </w:t>
      </w:r>
      <w:r w:rsidRPr="00C82E30">
        <w:rPr>
          <w:color w:val="000000"/>
        </w:rPr>
        <w:t>emissão de Decretos Governamentais de Autorização de Viagem que as solicitações de viagens aéreas e terrestres cumpram o necessário planejamento e sejam realizadas exclusivamente pelo Sistema Informatizado instituído pela Superintendência de Gestão dos Gastos Públicos Administrativos</w:t>
      </w:r>
      <w:r w:rsidR="00E364B6">
        <w:rPr>
          <w:color w:val="000000"/>
        </w:rPr>
        <w:t xml:space="preserve"> -</w:t>
      </w:r>
      <w:r w:rsidRPr="00C82E30">
        <w:rPr>
          <w:color w:val="000000"/>
        </w:rPr>
        <w:t xml:space="preserve"> SUGESP, sendo expressamente indeferidas aquelas protocoladas com prazo inferior a 15 (quinze) dias anteriores à realização do evento, bem como aquelas que não demonstrem os critérios necessários à análise de viabilidade e finalidade pública, salvo situações emergenciais ou imprevisíveis, devidamente justificadas.</w:t>
      </w:r>
    </w:p>
    <w:p w:rsidR="00C15FA6" w:rsidRPr="00C82E30" w:rsidRDefault="00C15FA6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§ 2º. Os custos com as remarcações, multas e cancelamento de bilhetes de passagens ficam sob responsabilidade dos servidores, exceto se ocorrerem por interesse público, devidamente justificado e com prévia autorização </w:t>
      </w:r>
      <w:r w:rsidR="004B5969">
        <w:rPr>
          <w:color w:val="000000"/>
        </w:rPr>
        <w:t>S</w:t>
      </w:r>
      <w:r w:rsidRPr="00C82E30">
        <w:rPr>
          <w:color w:val="000000"/>
        </w:rPr>
        <w:t>uperior.</w:t>
      </w:r>
    </w:p>
    <w:p w:rsidR="00C15FA6" w:rsidRPr="00C82E30" w:rsidRDefault="00C15FA6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§ 3º. Fica vedada a aplicação de </w:t>
      </w:r>
      <w:r w:rsidR="00E364B6">
        <w:rPr>
          <w:color w:val="000000"/>
        </w:rPr>
        <w:t>T</w:t>
      </w:r>
      <w:r w:rsidRPr="00C82E30">
        <w:rPr>
          <w:color w:val="000000"/>
        </w:rPr>
        <w:t xml:space="preserve">abela </w:t>
      </w:r>
      <w:r w:rsidR="00E364B6">
        <w:rPr>
          <w:color w:val="000000"/>
        </w:rPr>
        <w:t>D</w:t>
      </w:r>
      <w:r w:rsidRPr="00C82E30">
        <w:rPr>
          <w:color w:val="000000"/>
        </w:rPr>
        <w:t xml:space="preserve">iferenciada de </w:t>
      </w:r>
      <w:r w:rsidR="00E364B6">
        <w:rPr>
          <w:color w:val="000000"/>
        </w:rPr>
        <w:t>V</w:t>
      </w:r>
      <w:r w:rsidRPr="00C82E30">
        <w:rPr>
          <w:color w:val="000000"/>
        </w:rPr>
        <w:t xml:space="preserve">alores de </w:t>
      </w:r>
      <w:r w:rsidR="00E364B6">
        <w:rPr>
          <w:color w:val="000000"/>
        </w:rPr>
        <w:t>D</w:t>
      </w:r>
      <w:r w:rsidRPr="00C82E30">
        <w:rPr>
          <w:color w:val="000000"/>
        </w:rPr>
        <w:t xml:space="preserve">iárias no âmbito da </w:t>
      </w:r>
      <w:r w:rsidR="00E364B6">
        <w:rPr>
          <w:color w:val="000000"/>
        </w:rPr>
        <w:t>A</w:t>
      </w:r>
      <w:r w:rsidRPr="00C82E30">
        <w:rPr>
          <w:color w:val="000000"/>
        </w:rPr>
        <w:t xml:space="preserve">dministração </w:t>
      </w:r>
      <w:r w:rsidR="00E364B6">
        <w:rPr>
          <w:color w:val="000000"/>
        </w:rPr>
        <w:t>D</w:t>
      </w:r>
      <w:r w:rsidRPr="00C82E30">
        <w:rPr>
          <w:color w:val="000000"/>
        </w:rPr>
        <w:t xml:space="preserve">ireta, </w:t>
      </w:r>
      <w:r w:rsidR="00E364B6">
        <w:rPr>
          <w:color w:val="000000"/>
        </w:rPr>
        <w:t>I</w:t>
      </w:r>
      <w:r w:rsidRPr="00C82E30">
        <w:rPr>
          <w:color w:val="000000"/>
        </w:rPr>
        <w:t xml:space="preserve">ndireta, </w:t>
      </w:r>
      <w:r w:rsidR="00E364B6">
        <w:rPr>
          <w:color w:val="000000"/>
        </w:rPr>
        <w:t>A</w:t>
      </w:r>
      <w:r w:rsidRPr="00C82E30">
        <w:rPr>
          <w:color w:val="000000"/>
        </w:rPr>
        <w:t xml:space="preserve">utárquica e </w:t>
      </w:r>
      <w:r w:rsidR="00E364B6">
        <w:rPr>
          <w:color w:val="000000"/>
        </w:rPr>
        <w:t>F</w:t>
      </w:r>
      <w:r w:rsidRPr="00C82E30">
        <w:rPr>
          <w:color w:val="000000"/>
        </w:rPr>
        <w:t>undacional do Estado, doravante instituídos como teto máximo a ser pratica</w:t>
      </w:r>
      <w:r w:rsidR="00E364B6">
        <w:rPr>
          <w:color w:val="000000"/>
        </w:rPr>
        <w:t>do</w:t>
      </w:r>
      <w:r w:rsidR="00561E8D">
        <w:rPr>
          <w:color w:val="000000"/>
        </w:rPr>
        <w:t>,</w:t>
      </w:r>
      <w:r w:rsidR="00E364B6">
        <w:rPr>
          <w:color w:val="000000"/>
        </w:rPr>
        <w:t xml:space="preserve"> </w:t>
      </w:r>
      <w:r w:rsidR="004B5969">
        <w:rPr>
          <w:color w:val="000000"/>
        </w:rPr>
        <w:t>os</w:t>
      </w:r>
      <w:r w:rsidR="00E364B6">
        <w:rPr>
          <w:color w:val="000000"/>
        </w:rPr>
        <w:t xml:space="preserve"> valores constantes do</w:t>
      </w:r>
      <w:r w:rsidRPr="00C82E30">
        <w:rPr>
          <w:color w:val="000000"/>
        </w:rPr>
        <w:t xml:space="preserve"> Decreto de Diárias vigente, conforme escalonamento funcional equivalente.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Art. 5º. Dos veículos oficiais que atuam em todos 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da Administração Direta e Indireta do Poder Executivo, no mínimo 15% (quinze por cento) da frota considerada, mediante </w:t>
      </w:r>
      <w:r w:rsidR="00561E8D">
        <w:rPr>
          <w:color w:val="000000"/>
        </w:rPr>
        <w:t>P</w:t>
      </w:r>
      <w:r w:rsidRPr="00C82E30">
        <w:rPr>
          <w:color w:val="000000"/>
        </w:rPr>
        <w:t>arecer da Superintendência de Gestão de Gastos Públicos Administrativos - SUGESP, inapta ou dispendiosa quanto aos gastos com manutenção e combustível, deverão ser imediatamente relacionados e remetidos à Coordenadoria de Gestão Patrimonial e Regularização Fundiária - CGPRF/SUDER para realização de Leilão, na forma da Lei, consoante o disposto no Decreto n</w:t>
      </w:r>
      <w:r w:rsidR="00E364B6">
        <w:rPr>
          <w:color w:val="000000"/>
        </w:rPr>
        <w:t>º</w:t>
      </w:r>
      <w:r w:rsidRPr="00C82E30">
        <w:rPr>
          <w:color w:val="000000"/>
        </w:rPr>
        <w:t xml:space="preserve"> 17</w:t>
      </w:r>
      <w:r w:rsidR="00E364B6">
        <w:rPr>
          <w:color w:val="000000"/>
        </w:rPr>
        <w:t>.</w:t>
      </w:r>
      <w:r w:rsidRPr="00C82E30">
        <w:rPr>
          <w:color w:val="000000"/>
        </w:rPr>
        <w:t>691</w:t>
      </w:r>
      <w:r w:rsidR="00E364B6">
        <w:rPr>
          <w:color w:val="000000"/>
        </w:rPr>
        <w:t>,</w:t>
      </w:r>
      <w:r w:rsidRPr="00C82E30">
        <w:rPr>
          <w:color w:val="000000"/>
        </w:rPr>
        <w:t xml:space="preserve"> de 4 de abril de 2013.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Art. 6º. Ficam suspensas no âmbito do Poder Executivo, na Administração Direta e Indireta, </w:t>
      </w:r>
      <w:r w:rsidR="00E364B6">
        <w:rPr>
          <w:color w:val="000000"/>
        </w:rPr>
        <w:t>a contar da data de</w:t>
      </w:r>
      <w:r w:rsidRPr="00C82E30">
        <w:rPr>
          <w:color w:val="000000"/>
        </w:rPr>
        <w:t xml:space="preserve"> publicação deste Decreto, as novas contratações e despesas relacionadas com: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I - </w:t>
      </w:r>
      <w:r w:rsidR="00E364B6">
        <w:rPr>
          <w:color w:val="000000"/>
        </w:rPr>
        <w:t>l</w:t>
      </w:r>
      <w:r w:rsidRPr="00C82E30">
        <w:rPr>
          <w:color w:val="000000"/>
        </w:rPr>
        <w:t xml:space="preserve">icença prêmio em pecúnia </w:t>
      </w:r>
      <w:r w:rsidR="00E364B6">
        <w:rPr>
          <w:color w:val="000000"/>
        </w:rPr>
        <w:t>à</w:t>
      </w:r>
      <w:r w:rsidRPr="00C82E30">
        <w:rPr>
          <w:color w:val="000000"/>
        </w:rPr>
        <w:t xml:space="preserve"> servidores ativos, civis e militares;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II - </w:t>
      </w:r>
      <w:r w:rsidR="00E364B6">
        <w:rPr>
          <w:color w:val="000000"/>
        </w:rPr>
        <w:t>f</w:t>
      </w:r>
      <w:r w:rsidRPr="00C82E30">
        <w:rPr>
          <w:color w:val="000000"/>
        </w:rPr>
        <w:t>érias em pecúnia;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III - </w:t>
      </w:r>
      <w:r w:rsidR="00E364B6">
        <w:rPr>
          <w:color w:val="000000"/>
        </w:rPr>
        <w:t>c</w:t>
      </w:r>
      <w:r w:rsidRPr="00C82E30">
        <w:rPr>
          <w:color w:val="000000"/>
        </w:rPr>
        <w:t>oncessão de aumentos salariais e</w:t>
      </w:r>
      <w:r w:rsidR="00E364B6">
        <w:rPr>
          <w:color w:val="000000"/>
        </w:rPr>
        <w:t xml:space="preserve"> de</w:t>
      </w:r>
      <w:r w:rsidRPr="00C82E30">
        <w:rPr>
          <w:color w:val="000000"/>
        </w:rPr>
        <w:t xml:space="preserve"> gratificações de qualquer espécie;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IV - criação e expansão de grupos e</w:t>
      </w:r>
      <w:r w:rsidR="00E364B6">
        <w:rPr>
          <w:color w:val="000000"/>
        </w:rPr>
        <w:t xml:space="preserve"> de</w:t>
      </w:r>
      <w:r w:rsidRPr="00C82E30">
        <w:rPr>
          <w:color w:val="000000"/>
        </w:rPr>
        <w:t xml:space="preserve"> comissões de trabalho remunerados;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V - </w:t>
      </w:r>
      <w:r w:rsidR="00E364B6">
        <w:rPr>
          <w:color w:val="000000"/>
        </w:rPr>
        <w:t>c</w:t>
      </w:r>
      <w:r w:rsidRPr="00C82E30">
        <w:rPr>
          <w:color w:val="000000"/>
        </w:rPr>
        <w:t>oncessão de novos abonos de permanência no serviço;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VI - </w:t>
      </w:r>
      <w:r w:rsidR="00E364B6">
        <w:rPr>
          <w:color w:val="000000"/>
        </w:rPr>
        <w:t>p</w:t>
      </w:r>
      <w:r w:rsidRPr="00C82E30">
        <w:rPr>
          <w:color w:val="000000"/>
        </w:rPr>
        <w:t>osse a novos servidores, exceto as substituições decorrentes de aposentadoria, exoneração e falecimento;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VII - </w:t>
      </w:r>
      <w:r w:rsidR="00E364B6">
        <w:rPr>
          <w:color w:val="000000"/>
        </w:rPr>
        <w:t>a</w:t>
      </w:r>
      <w:r w:rsidRPr="00C82E30">
        <w:rPr>
          <w:color w:val="000000"/>
        </w:rPr>
        <w:t>mpliação de gastos com Funções Gratificadas e Cargos de Direção Superior;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VIII - </w:t>
      </w:r>
      <w:r w:rsidR="00E364B6">
        <w:rPr>
          <w:color w:val="000000"/>
        </w:rPr>
        <w:t>a</w:t>
      </w:r>
      <w:r w:rsidRPr="00C82E30">
        <w:rPr>
          <w:color w:val="000000"/>
        </w:rPr>
        <w:t>mpliação de contratações de servidores temporários e de estagiários remunerados;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IX - </w:t>
      </w:r>
      <w:r w:rsidR="00E364B6">
        <w:rPr>
          <w:color w:val="000000"/>
        </w:rPr>
        <w:t>c</w:t>
      </w:r>
      <w:r w:rsidRPr="00C82E30">
        <w:rPr>
          <w:color w:val="000000"/>
        </w:rPr>
        <w:t>riação de novos cargos efetivos, empregos ou funções equivalentes;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X - </w:t>
      </w:r>
      <w:r w:rsidR="00E364B6">
        <w:rPr>
          <w:color w:val="000000"/>
        </w:rPr>
        <w:t>r</w:t>
      </w:r>
      <w:r w:rsidRPr="00C82E30">
        <w:rPr>
          <w:color w:val="000000"/>
        </w:rPr>
        <w:t xml:space="preserve">eestruturações de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e</w:t>
      </w:r>
      <w:r w:rsidR="00E364B6">
        <w:rPr>
          <w:color w:val="000000"/>
        </w:rPr>
        <w:t xml:space="preserve"> de</w:t>
      </w:r>
      <w:r w:rsidRPr="00C82E30">
        <w:rPr>
          <w:color w:val="000000"/>
        </w:rPr>
        <w:t xml:space="preserve"> </w:t>
      </w:r>
      <w:r w:rsidR="009310E4">
        <w:rPr>
          <w:color w:val="000000"/>
        </w:rPr>
        <w:t>Entidades</w:t>
      </w:r>
      <w:r w:rsidRPr="00C82E30">
        <w:rPr>
          <w:color w:val="000000"/>
        </w:rPr>
        <w:t xml:space="preserve"> que impliquem em aumento de despesas;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XI - </w:t>
      </w:r>
      <w:r w:rsidR="00E364B6">
        <w:rPr>
          <w:color w:val="000000"/>
        </w:rPr>
        <w:t>c</w:t>
      </w:r>
      <w:r w:rsidRPr="00C82E30">
        <w:rPr>
          <w:color w:val="000000"/>
        </w:rPr>
        <w:t>riação de gratificações</w:t>
      </w:r>
      <w:r w:rsidR="00E364B6">
        <w:rPr>
          <w:color w:val="000000"/>
        </w:rPr>
        <w:t>,</w:t>
      </w:r>
      <w:r w:rsidRPr="00C82E30">
        <w:rPr>
          <w:color w:val="000000"/>
        </w:rPr>
        <w:t xml:space="preserve"> adicionais ou alterações das existentes que impliquem em aumento de despesas;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XII - </w:t>
      </w:r>
      <w:r w:rsidR="00E364B6">
        <w:rPr>
          <w:color w:val="000000"/>
        </w:rPr>
        <w:t>c</w:t>
      </w:r>
      <w:r w:rsidRPr="00C82E30">
        <w:rPr>
          <w:color w:val="000000"/>
        </w:rPr>
        <w:t xml:space="preserve">essão de servidores estaduais ou a requisição de servidores de outras esferas de </w:t>
      </w:r>
      <w:r w:rsidR="00BA5C8B">
        <w:rPr>
          <w:color w:val="000000"/>
        </w:rPr>
        <w:t>G</w:t>
      </w:r>
      <w:r w:rsidRPr="00C82E30">
        <w:rPr>
          <w:color w:val="000000"/>
        </w:rPr>
        <w:t>overno, com ônus para o Estado;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XIII - </w:t>
      </w:r>
      <w:r w:rsidR="00E364B6">
        <w:rPr>
          <w:color w:val="000000"/>
        </w:rPr>
        <w:t>c</w:t>
      </w:r>
      <w:r w:rsidRPr="00C82E30">
        <w:rPr>
          <w:color w:val="000000"/>
        </w:rPr>
        <w:t>riação, alteração e implantação de Plano de Cargos, Carreiras e Remuneração que impliquem em aumento de despesa;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XIV - </w:t>
      </w:r>
      <w:r w:rsidR="00E364B6">
        <w:rPr>
          <w:color w:val="000000"/>
        </w:rPr>
        <w:t>a</w:t>
      </w:r>
      <w:r w:rsidRPr="00C82E30">
        <w:rPr>
          <w:color w:val="000000"/>
        </w:rPr>
        <w:t>umento de valores de concessão de diárias;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XV - </w:t>
      </w:r>
      <w:r w:rsidR="00E364B6">
        <w:rPr>
          <w:color w:val="000000"/>
        </w:rPr>
        <w:t>c</w:t>
      </w:r>
      <w:r w:rsidRPr="00C82E30">
        <w:rPr>
          <w:color w:val="000000"/>
        </w:rPr>
        <w:t xml:space="preserve">elebração de aditivos em </w:t>
      </w:r>
      <w:r w:rsidR="00BA5C8B">
        <w:rPr>
          <w:color w:val="000000"/>
        </w:rPr>
        <w:t>C</w:t>
      </w:r>
      <w:r w:rsidRPr="00C82E30">
        <w:rPr>
          <w:color w:val="000000"/>
        </w:rPr>
        <w:t xml:space="preserve">ontratos </w:t>
      </w:r>
      <w:r w:rsidR="00BA5C8B">
        <w:rPr>
          <w:color w:val="000000"/>
        </w:rPr>
        <w:t>A</w:t>
      </w:r>
      <w:r w:rsidRPr="00C82E30">
        <w:rPr>
          <w:color w:val="000000"/>
        </w:rPr>
        <w:t xml:space="preserve">dministrativos que representem aumento de quantitativo anteriormente contratado e que impliquem em acréscimo no valor, salvo reajustes legalmente amparados, visando manter o equilíbrio da relação contratual e demandas que </w:t>
      </w:r>
      <w:r w:rsidR="00E364B6">
        <w:rPr>
          <w:color w:val="000000"/>
        </w:rPr>
        <w:t>objetivem</w:t>
      </w:r>
      <w:r w:rsidRPr="00C82E30">
        <w:rPr>
          <w:color w:val="000000"/>
        </w:rPr>
        <w:t xml:space="preserve"> atendimento de urgências, decisões judiciais e afins;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XVI </w:t>
      </w:r>
      <w:r w:rsidR="00BA5C8B">
        <w:rPr>
          <w:color w:val="000000"/>
        </w:rPr>
        <w:t>-</w:t>
      </w:r>
      <w:r w:rsidRPr="00C82E30">
        <w:rPr>
          <w:color w:val="000000"/>
        </w:rPr>
        <w:t xml:space="preserve"> </w:t>
      </w:r>
      <w:r w:rsidR="00BA5C8B">
        <w:rPr>
          <w:color w:val="000000"/>
        </w:rPr>
        <w:t>c</w:t>
      </w:r>
      <w:r w:rsidR="00BA5C8B" w:rsidRPr="00C82E30">
        <w:rPr>
          <w:color w:val="000000"/>
        </w:rPr>
        <w:t>ontratação</w:t>
      </w:r>
      <w:r w:rsidR="00BA5C8B">
        <w:rPr>
          <w:color w:val="000000"/>
        </w:rPr>
        <w:t xml:space="preserve"> de</w:t>
      </w:r>
      <w:r w:rsidRPr="00C82E30">
        <w:rPr>
          <w:color w:val="000000"/>
        </w:rPr>
        <w:t xml:space="preserve"> consultorias </w:t>
      </w:r>
      <w:r w:rsidR="00BA5C8B">
        <w:rPr>
          <w:color w:val="000000"/>
        </w:rPr>
        <w:t>para</w:t>
      </w:r>
      <w:r w:rsidR="00463CCD">
        <w:rPr>
          <w:color w:val="000000"/>
        </w:rPr>
        <w:t xml:space="preserve"> a </w:t>
      </w:r>
      <w:r w:rsidRPr="00C82E30">
        <w:rPr>
          <w:color w:val="000000"/>
        </w:rPr>
        <w:t xml:space="preserve">realização de serviços de qualquer natureza, excetuando-se as licitações com recursos de financiamentos e </w:t>
      </w:r>
      <w:r w:rsidR="00E364B6">
        <w:rPr>
          <w:color w:val="000000"/>
        </w:rPr>
        <w:t xml:space="preserve">de </w:t>
      </w:r>
      <w:r w:rsidRPr="00C82E30">
        <w:rPr>
          <w:color w:val="000000"/>
        </w:rPr>
        <w:t>empréstimos</w:t>
      </w:r>
      <w:r w:rsidR="00E364B6">
        <w:rPr>
          <w:color w:val="000000"/>
        </w:rPr>
        <w:t xml:space="preserve"> </w:t>
      </w:r>
      <w:r w:rsidRPr="00C82E30">
        <w:rPr>
          <w:color w:val="000000"/>
        </w:rPr>
        <w:t>com recursos a fundo perdido com aplicação vinculada e demais fontes de recurso federal;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 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XVII - </w:t>
      </w:r>
      <w:r w:rsidR="00E364B6">
        <w:rPr>
          <w:color w:val="000000"/>
        </w:rPr>
        <w:t>c</w:t>
      </w:r>
      <w:r w:rsidRPr="00C82E30">
        <w:rPr>
          <w:color w:val="000000"/>
        </w:rPr>
        <w:t>ontratação dos demais Serviços Técnicos Profissionais Especializados - Pessoa Física e Jurídica, de que trata o artigo 13</w:t>
      </w:r>
      <w:r w:rsidR="00E364B6">
        <w:rPr>
          <w:color w:val="000000"/>
        </w:rPr>
        <w:t>,</w:t>
      </w:r>
      <w:r w:rsidRPr="00C82E30">
        <w:rPr>
          <w:color w:val="000000"/>
        </w:rPr>
        <w:t xml:space="preserve"> da Lei n</w:t>
      </w:r>
      <w:r w:rsidR="00E364B6">
        <w:rPr>
          <w:color w:val="000000"/>
        </w:rPr>
        <w:t>º</w:t>
      </w:r>
      <w:r w:rsidRPr="00C82E30">
        <w:rPr>
          <w:color w:val="000000"/>
        </w:rPr>
        <w:t xml:space="preserve"> 8.666</w:t>
      </w:r>
      <w:r w:rsidR="00E364B6">
        <w:rPr>
          <w:color w:val="000000"/>
        </w:rPr>
        <w:t>, de 19</w:t>
      </w:r>
      <w:r w:rsidRPr="00C82E30">
        <w:rPr>
          <w:color w:val="000000"/>
        </w:rPr>
        <w:t>93, salvo necessidade específica, urgente e inadiável, e as inscrições de treinamento e aperfeiçoamento de pessoal por adesão ou à distância, desde que comprovada a viabilidade;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XVIII - </w:t>
      </w:r>
      <w:r w:rsidR="00E364B6">
        <w:rPr>
          <w:color w:val="000000"/>
        </w:rPr>
        <w:t>c</w:t>
      </w:r>
      <w:r w:rsidRPr="00C82E30">
        <w:rPr>
          <w:color w:val="000000"/>
        </w:rPr>
        <w:t>ontratação de serviços para eventos e buffet, incluindo locação de espaço e estruturas e despesas afins, excetuando-se aqueles de representação institucional ou oficial do Poder Executivo Estadual, de responsabilidade ou autorizadas pela Governadoria; e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XIX - </w:t>
      </w:r>
      <w:r w:rsidR="00E364B6">
        <w:rPr>
          <w:color w:val="000000"/>
        </w:rPr>
        <w:t>c</w:t>
      </w:r>
      <w:r w:rsidRPr="00C82E30">
        <w:rPr>
          <w:color w:val="000000"/>
        </w:rPr>
        <w:t>ontratação e ampliação de locação de veículos.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1º. As propostas de atos que resultem em criação ou aumento de despesa obrigatória de caráter continuado, além de atender ao disposto no art</w:t>
      </w:r>
      <w:r w:rsidR="00E364B6">
        <w:rPr>
          <w:color w:val="000000"/>
        </w:rPr>
        <w:t>igo</w:t>
      </w:r>
      <w:r w:rsidRPr="00C82E30">
        <w:rPr>
          <w:color w:val="000000"/>
        </w:rPr>
        <w:t xml:space="preserve"> 17</w:t>
      </w:r>
      <w:r w:rsidR="00E364B6">
        <w:rPr>
          <w:color w:val="000000"/>
        </w:rPr>
        <w:t>,</w:t>
      </w:r>
      <w:r w:rsidRPr="00C82E30">
        <w:rPr>
          <w:color w:val="000000"/>
        </w:rPr>
        <w:t xml:space="preserve"> da Lei Complementar n</w:t>
      </w:r>
      <w:r w:rsidR="00E364B6">
        <w:rPr>
          <w:color w:val="000000"/>
        </w:rPr>
        <w:t>º</w:t>
      </w:r>
      <w:r w:rsidRPr="00C82E30">
        <w:rPr>
          <w:color w:val="000000"/>
        </w:rPr>
        <w:t xml:space="preserve"> 101, de 2000, deverão, previamente </w:t>
      </w:r>
      <w:r w:rsidR="00B70F77">
        <w:rPr>
          <w:color w:val="000000"/>
        </w:rPr>
        <w:t>a</w:t>
      </w:r>
      <w:r w:rsidRPr="00C82E30">
        <w:rPr>
          <w:color w:val="000000"/>
        </w:rPr>
        <w:t xml:space="preserve"> sua edição, ser encaminhadas à Secretaria de Estado de Planejamento, Orçamento e Gestão -</w:t>
      </w:r>
      <w:r w:rsidR="00B70F77">
        <w:rPr>
          <w:color w:val="000000"/>
        </w:rPr>
        <w:t xml:space="preserve"> </w:t>
      </w:r>
      <w:r w:rsidRPr="00C82E30">
        <w:rPr>
          <w:color w:val="000000"/>
        </w:rPr>
        <w:t>SEPOG e à Secretaria de Estado de Finanças</w:t>
      </w:r>
      <w:r w:rsidR="00B70F77">
        <w:rPr>
          <w:color w:val="000000"/>
        </w:rPr>
        <w:t xml:space="preserve"> - SEFIN</w:t>
      </w:r>
      <w:r w:rsidRPr="00C82E30">
        <w:rPr>
          <w:color w:val="000000"/>
        </w:rPr>
        <w:t>, para que se manifestem conjuntamente sobre a adequação orçamentária e financeira dessas despesas.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§ 2º. 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e </w:t>
      </w:r>
      <w:r w:rsidR="009310E4">
        <w:rPr>
          <w:color w:val="000000"/>
        </w:rPr>
        <w:t>Entidades</w:t>
      </w:r>
      <w:r w:rsidRPr="00C82E30">
        <w:rPr>
          <w:color w:val="000000"/>
        </w:rPr>
        <w:t xml:space="preserve"> devem proceder à revisão imediata do quantitat</w:t>
      </w:r>
      <w:r w:rsidR="00B70F77">
        <w:rPr>
          <w:color w:val="000000"/>
        </w:rPr>
        <w:t>ivo dos</w:t>
      </w:r>
      <w:r w:rsidRPr="00C82E30">
        <w:rPr>
          <w:color w:val="000000"/>
        </w:rPr>
        <w:t xml:space="preserve"> servidores temporários</w:t>
      </w:r>
      <w:r w:rsidR="00BA5C8B">
        <w:rPr>
          <w:color w:val="000000"/>
        </w:rPr>
        <w:t>,</w:t>
      </w:r>
      <w:r w:rsidRPr="00C82E30">
        <w:rPr>
          <w:color w:val="000000"/>
        </w:rPr>
        <w:t xml:space="preserve"> com vistas à análise de viabilidade de substituição ou redução das despesas com pessoal, devendo encaminhar à Superintendência Estadual de Gestão de Pessoas - SEGEP, no prazo de 10 (dez) dias </w:t>
      </w:r>
      <w:r w:rsidR="00B70F77">
        <w:rPr>
          <w:color w:val="000000"/>
        </w:rPr>
        <w:t>a contar da data de</w:t>
      </w:r>
      <w:r w:rsidRPr="00C82E30">
        <w:rPr>
          <w:color w:val="000000"/>
        </w:rPr>
        <w:t xml:space="preserve"> publicação deste Decreto, a relação nominal contendo identificação da função.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3º. Excetua-se do disposto no inciso XVIII</w:t>
      </w:r>
      <w:r w:rsidR="00B70F77">
        <w:rPr>
          <w:color w:val="000000"/>
        </w:rPr>
        <w:t>,</w:t>
      </w:r>
      <w:r w:rsidRPr="00C82E30">
        <w:rPr>
          <w:color w:val="000000"/>
        </w:rPr>
        <w:t xml:space="preserve"> deste artigo</w:t>
      </w:r>
      <w:r w:rsidR="00B70F77">
        <w:rPr>
          <w:color w:val="000000"/>
        </w:rPr>
        <w:t>,</w:t>
      </w:r>
      <w:r w:rsidRPr="00C82E30">
        <w:rPr>
          <w:color w:val="000000"/>
        </w:rPr>
        <w:t xml:space="preserve"> as agendas</w:t>
      </w:r>
      <w:r w:rsidR="00B70F77">
        <w:rPr>
          <w:color w:val="000000"/>
        </w:rPr>
        <w:t xml:space="preserve"> oficiais de trabalho, bem como os eventos nacionais de frequ</w:t>
      </w:r>
      <w:r w:rsidRPr="00C82E30">
        <w:rPr>
          <w:color w:val="000000"/>
        </w:rPr>
        <w:t xml:space="preserve">ência anual ou periódica dos quais participem os Secretários e Dirigentes dos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e </w:t>
      </w:r>
      <w:r w:rsidR="009310E4">
        <w:rPr>
          <w:color w:val="000000"/>
        </w:rPr>
        <w:t>Entidades</w:t>
      </w:r>
      <w:r w:rsidRPr="00C82E30">
        <w:rPr>
          <w:color w:val="000000"/>
        </w:rPr>
        <w:t xml:space="preserve"> e servidores que nestes os acompanharem ou representarem, que devem ser precedidas de autorização do Secretário-Chefe da Casa Civil.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4º. Fica vedada a prorrogação de grupos e</w:t>
      </w:r>
      <w:r w:rsidR="00B70F77">
        <w:rPr>
          <w:color w:val="000000"/>
        </w:rPr>
        <w:t xml:space="preserve"> de</w:t>
      </w:r>
      <w:r w:rsidRPr="00C82E30">
        <w:rPr>
          <w:color w:val="000000"/>
        </w:rPr>
        <w:t xml:space="preserve"> comissões de trabalho remunerado em exercício, os quais serão dissolvidos mediante apres</w:t>
      </w:r>
      <w:r w:rsidR="00F27AF7">
        <w:rPr>
          <w:color w:val="000000"/>
        </w:rPr>
        <w:t xml:space="preserve">entação de relatório conclusivo </w:t>
      </w:r>
      <w:r w:rsidRPr="00C82E30">
        <w:rPr>
          <w:color w:val="000000"/>
        </w:rPr>
        <w:t>que deverá ocorrer no prazo máximo de 180 (cento e oitenta) dias, conforme cronograma constante no Anexo IV.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§ 5º. Fica determinado aos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e</w:t>
      </w:r>
      <w:r w:rsidR="00B70F77">
        <w:rPr>
          <w:color w:val="000000"/>
        </w:rPr>
        <w:t xml:space="preserve"> às</w:t>
      </w:r>
      <w:r w:rsidRPr="00C82E30">
        <w:rPr>
          <w:color w:val="000000"/>
        </w:rPr>
        <w:t xml:space="preserve"> </w:t>
      </w:r>
      <w:r w:rsidR="009310E4">
        <w:rPr>
          <w:color w:val="000000"/>
        </w:rPr>
        <w:t>Entidades</w:t>
      </w:r>
      <w:r w:rsidRPr="00C82E30">
        <w:rPr>
          <w:color w:val="000000"/>
        </w:rPr>
        <w:t xml:space="preserve"> que procedam à revisão do quantitativo de servidores cedidos para outras esferas de </w:t>
      </w:r>
      <w:r w:rsidR="00BD6328">
        <w:rPr>
          <w:color w:val="000000"/>
        </w:rPr>
        <w:t>G</w:t>
      </w:r>
      <w:r w:rsidRPr="00C82E30">
        <w:rPr>
          <w:color w:val="000000"/>
        </w:rPr>
        <w:t>overno</w:t>
      </w:r>
      <w:r w:rsidR="00BD6328">
        <w:rPr>
          <w:color w:val="000000"/>
        </w:rPr>
        <w:t>,</w:t>
      </w:r>
      <w:r w:rsidRPr="00C82E30">
        <w:rPr>
          <w:color w:val="000000"/>
        </w:rPr>
        <w:t xml:space="preserve"> com vistas à reversão do ônus </w:t>
      </w:r>
      <w:r w:rsidR="00B70F77">
        <w:rPr>
          <w:color w:val="000000"/>
        </w:rPr>
        <w:t>ao</w:t>
      </w:r>
      <w:r w:rsidRPr="00C82E30">
        <w:rPr>
          <w:color w:val="000000"/>
        </w:rPr>
        <w:t xml:space="preserve"> </w:t>
      </w:r>
      <w:r w:rsidR="009310E4">
        <w:rPr>
          <w:color w:val="000000"/>
        </w:rPr>
        <w:t>Órgão</w:t>
      </w:r>
      <w:r w:rsidRPr="00C82E30">
        <w:rPr>
          <w:color w:val="000000"/>
        </w:rPr>
        <w:t xml:space="preserve"> de destino.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Art. 7º. A observância e</w:t>
      </w:r>
      <w:r w:rsidR="00B70F77">
        <w:rPr>
          <w:color w:val="000000"/>
        </w:rPr>
        <w:t xml:space="preserve"> o</w:t>
      </w:r>
      <w:r w:rsidRPr="00C82E30">
        <w:rPr>
          <w:color w:val="000000"/>
        </w:rPr>
        <w:t xml:space="preserve"> cumprimento das disposições e diretrizes disciplinadas por este Decreto são da responsabilidade dos Secretários, Secretários Adjuntos, Superintendentes, Dirigentes e assemelhados e Diretores/Gerentes ou Coordenadores Administrativo-Financeiros e/ou demais Ordenadores de Despesas dos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e </w:t>
      </w:r>
      <w:r w:rsidR="009310E4">
        <w:rPr>
          <w:color w:val="000000"/>
        </w:rPr>
        <w:t>Entidades</w:t>
      </w:r>
      <w:r w:rsidRPr="00C82E30">
        <w:rPr>
          <w:color w:val="000000"/>
        </w:rPr>
        <w:t>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§ 1º. 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e </w:t>
      </w:r>
      <w:r w:rsidR="009310E4">
        <w:rPr>
          <w:color w:val="000000"/>
        </w:rPr>
        <w:t>Entidades</w:t>
      </w:r>
      <w:r w:rsidRPr="00C82E30">
        <w:rPr>
          <w:color w:val="000000"/>
        </w:rPr>
        <w:t>, orientados e supervisionados pela Controladoria</w:t>
      </w:r>
      <w:r w:rsidR="00B70F77">
        <w:rPr>
          <w:color w:val="000000"/>
        </w:rPr>
        <w:t>-</w:t>
      </w:r>
      <w:r w:rsidRPr="00C82E30">
        <w:rPr>
          <w:color w:val="000000"/>
        </w:rPr>
        <w:t xml:space="preserve">Geral do Estado - CGE, deverão adequar suas Unidades Administrativas e Controles Internos para o assessoramento tempestivo quanto ao levantamento, acompanhamento, atendimento e demonstração dos resultados no âmbito de suas áreas, </w:t>
      </w:r>
      <w:r w:rsidR="00B70F77">
        <w:rPr>
          <w:color w:val="000000"/>
        </w:rPr>
        <w:t>por meio</w:t>
      </w:r>
      <w:r w:rsidRPr="00C82E30">
        <w:rPr>
          <w:color w:val="000000"/>
        </w:rPr>
        <w:t xml:space="preserve"> d</w:t>
      </w:r>
      <w:r w:rsidR="00B70F77">
        <w:rPr>
          <w:color w:val="000000"/>
        </w:rPr>
        <w:t>e relatório bimestral</w:t>
      </w:r>
      <w:r w:rsidRPr="00C82E30">
        <w:rPr>
          <w:color w:val="000000"/>
        </w:rPr>
        <w:t xml:space="preserve"> que deverá ser encaminhado aos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fiscalizadores mencionados neste Decreto.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§ 2º. Ficam encarregadas de regulamentar e fiscalizar o fiel cumprimento deste Decreto, em suas respectivas áreas de competências: a Secretaria de Estado do Planejamento, Orçamento e Gestão</w:t>
      </w:r>
      <w:r w:rsidR="00B70F77">
        <w:rPr>
          <w:color w:val="000000"/>
        </w:rPr>
        <w:t xml:space="preserve"> - </w:t>
      </w:r>
      <w:r w:rsidRPr="00C82E30">
        <w:rPr>
          <w:color w:val="000000"/>
        </w:rPr>
        <w:t>SEPOG; a Secretaria de Estado de Finanças - SEFIN; a Superintendência de Gestão dos Gastos Públicos Administrativos-SUGESP; a Superintendência Estadual de Gestão de Pessoas</w:t>
      </w:r>
      <w:r w:rsidR="00B70F77">
        <w:rPr>
          <w:color w:val="000000"/>
        </w:rPr>
        <w:t xml:space="preserve"> </w:t>
      </w:r>
      <w:r w:rsidRPr="00C82E30">
        <w:rPr>
          <w:color w:val="000000"/>
        </w:rPr>
        <w:t>-</w:t>
      </w:r>
      <w:r w:rsidR="00B70F77">
        <w:rPr>
          <w:color w:val="000000"/>
        </w:rPr>
        <w:t xml:space="preserve"> </w:t>
      </w:r>
      <w:r w:rsidRPr="00C82E30">
        <w:rPr>
          <w:color w:val="000000"/>
        </w:rPr>
        <w:t>SEGEP; a Controladoria</w:t>
      </w:r>
      <w:r w:rsidR="00B70F77">
        <w:rPr>
          <w:color w:val="000000"/>
        </w:rPr>
        <w:t>-G</w:t>
      </w:r>
      <w:r w:rsidRPr="00C82E30">
        <w:rPr>
          <w:color w:val="000000"/>
        </w:rPr>
        <w:t>eral do Estado - CGE; a Coordenadoria de Gestão Patrimonial e Regularização Fundiár</w:t>
      </w:r>
      <w:r w:rsidR="00B70F77">
        <w:rPr>
          <w:color w:val="000000"/>
        </w:rPr>
        <w:t>ia -CGPRF/SUDER; a Procuradoria-</w:t>
      </w:r>
      <w:r w:rsidRPr="00C82E30">
        <w:rPr>
          <w:color w:val="000000"/>
        </w:rPr>
        <w:t xml:space="preserve">Geral do Estado - PGE e a Superintendência Estadual de Licitações </w:t>
      </w:r>
      <w:r w:rsidR="00F27AF7">
        <w:rPr>
          <w:color w:val="000000"/>
        </w:rPr>
        <w:t>-</w:t>
      </w:r>
      <w:r w:rsidRPr="00C82E30">
        <w:rPr>
          <w:color w:val="000000"/>
        </w:rPr>
        <w:t>SUPEL</w:t>
      </w:r>
      <w:r w:rsidR="00BD6328">
        <w:rPr>
          <w:color w:val="000000"/>
        </w:rPr>
        <w:t>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Art. 8º. A Secretaria de Estado do Planejamento, Orçamento e Gestão - SEPOG, por força do disposto neste Decreto, fica autorizada a proceder aos ajustes orçamentários necessários nas respectivas dotações dos </w:t>
      </w:r>
      <w:r w:rsidR="009310E4">
        <w:rPr>
          <w:color w:val="000000"/>
        </w:rPr>
        <w:t>Órgãos</w:t>
      </w:r>
      <w:r w:rsidRPr="00C82E30">
        <w:rPr>
          <w:color w:val="000000"/>
        </w:rPr>
        <w:t>.</w:t>
      </w:r>
    </w:p>
    <w:p w:rsidR="00C15FA6" w:rsidRPr="00C82E30" w:rsidRDefault="00C15FA6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 xml:space="preserve">Parágrafo único. Os </w:t>
      </w:r>
      <w:r w:rsidR="009310E4">
        <w:rPr>
          <w:color w:val="000000"/>
        </w:rPr>
        <w:t>Órgãos</w:t>
      </w:r>
      <w:r w:rsidRPr="00C82E30">
        <w:rPr>
          <w:color w:val="000000"/>
        </w:rPr>
        <w:t xml:space="preserve"> da Administração Direta e Indireta deverão adotar medidas para ajustes no Plano Plurianual 2016/2019, em consequência das reduções de despesas determinadas neste Decreto, com a supervisão e</w:t>
      </w:r>
      <w:r w:rsidR="00B70F77">
        <w:rPr>
          <w:color w:val="000000"/>
        </w:rPr>
        <w:t xml:space="preserve"> o</w:t>
      </w:r>
      <w:r w:rsidRPr="00C82E30">
        <w:rPr>
          <w:color w:val="000000"/>
        </w:rPr>
        <w:t xml:space="preserve"> apoio da Secretaria de Estado do Planejamento, Orçamento e Gestão - SEPOG e </w:t>
      </w:r>
      <w:r w:rsidR="00B70F77">
        <w:rPr>
          <w:color w:val="000000"/>
        </w:rPr>
        <w:t xml:space="preserve">da </w:t>
      </w:r>
      <w:r w:rsidRPr="00C82E30">
        <w:rPr>
          <w:color w:val="000000"/>
        </w:rPr>
        <w:t>Secretaria de Estado de Finanças</w:t>
      </w:r>
      <w:r w:rsidR="00B70F77">
        <w:rPr>
          <w:color w:val="000000"/>
        </w:rPr>
        <w:t xml:space="preserve"> </w:t>
      </w:r>
      <w:r w:rsidRPr="00C82E30">
        <w:rPr>
          <w:color w:val="000000"/>
        </w:rPr>
        <w:t>-</w:t>
      </w:r>
      <w:r w:rsidR="00B70F77">
        <w:rPr>
          <w:color w:val="000000"/>
        </w:rPr>
        <w:t xml:space="preserve"> </w:t>
      </w:r>
      <w:r w:rsidRPr="00C82E30">
        <w:rPr>
          <w:color w:val="000000"/>
        </w:rPr>
        <w:t>SEFIN.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Art. 9º. Os casos omissos e</w:t>
      </w:r>
      <w:r w:rsidR="00B70F77">
        <w:rPr>
          <w:color w:val="000000"/>
        </w:rPr>
        <w:t xml:space="preserve"> as</w:t>
      </w:r>
      <w:r w:rsidRPr="00C82E30">
        <w:rPr>
          <w:color w:val="000000"/>
        </w:rPr>
        <w:t xml:space="preserve"> excepcionalidades deverão ser justificados pelo </w:t>
      </w:r>
      <w:r w:rsidR="00B70F77">
        <w:rPr>
          <w:color w:val="000000"/>
        </w:rPr>
        <w:t>T</w:t>
      </w:r>
      <w:r w:rsidRPr="00C82E30">
        <w:rPr>
          <w:color w:val="000000"/>
        </w:rPr>
        <w:t xml:space="preserve">itular da </w:t>
      </w:r>
      <w:r w:rsidR="00B70F77">
        <w:rPr>
          <w:color w:val="000000"/>
        </w:rPr>
        <w:t>P</w:t>
      </w:r>
      <w:r w:rsidRPr="00C82E30">
        <w:rPr>
          <w:color w:val="000000"/>
        </w:rPr>
        <w:t>asta e recepcionados pela Secretaria de Estado do Planejamento, Orçament</w:t>
      </w:r>
      <w:r w:rsidR="00B70F77">
        <w:rPr>
          <w:color w:val="000000"/>
        </w:rPr>
        <w:t>o e Gestão - SEPOG, que comporá</w:t>
      </w:r>
      <w:r w:rsidRPr="00C82E30">
        <w:rPr>
          <w:color w:val="000000"/>
        </w:rPr>
        <w:t xml:space="preserve"> conjuntamente com a Secretaria de Estado de Finanças - SEFIN e a Superintendência de Gestão dos Gastos Públicos Administrativos - SUGESP, </w:t>
      </w:r>
      <w:r w:rsidR="00B70F77">
        <w:rPr>
          <w:color w:val="000000"/>
        </w:rPr>
        <w:t xml:space="preserve">uma </w:t>
      </w:r>
      <w:r w:rsidRPr="00C82E30">
        <w:rPr>
          <w:color w:val="000000"/>
        </w:rPr>
        <w:t>Comissão Permanente de Racionalização de Gastos, que autorizará somente os casos que não possam sofrer interrupção ou adiamento da demanda, apenas pelo prazo necessário, sempre considerando o custo-benefício e o atendimento do interesse público.</w:t>
      </w:r>
    </w:p>
    <w:p w:rsidR="000503DD" w:rsidRPr="00C82E30" w:rsidRDefault="000503DD" w:rsidP="00C82E30">
      <w:pPr>
        <w:ind w:firstLine="567"/>
        <w:jc w:val="both"/>
        <w:rPr>
          <w:color w:val="000000"/>
        </w:rPr>
      </w:pPr>
    </w:p>
    <w:p w:rsidR="000503DD" w:rsidRPr="00C82E30" w:rsidRDefault="000503DD" w:rsidP="00C82E30">
      <w:pPr>
        <w:ind w:firstLine="567"/>
        <w:jc w:val="both"/>
        <w:rPr>
          <w:color w:val="000000"/>
        </w:rPr>
      </w:pPr>
      <w:r w:rsidRPr="00C82E30">
        <w:rPr>
          <w:color w:val="000000"/>
        </w:rPr>
        <w:t>Art. 10. Este Decreto entra em vigor na data de sua publicação</w:t>
      </w:r>
      <w:r w:rsidR="00BD6328">
        <w:rPr>
          <w:color w:val="000000"/>
        </w:rPr>
        <w:t>.</w:t>
      </w:r>
    </w:p>
    <w:p w:rsidR="000503DD" w:rsidRPr="00C82E30" w:rsidRDefault="000503DD" w:rsidP="00C82E30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7B63C4" w:rsidRPr="00C82E30" w:rsidRDefault="007B63C4" w:rsidP="00C82E30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C82E30">
        <w:rPr>
          <w:rFonts w:ascii="Times New Roman" w:hAnsi="Times New Roman"/>
          <w:sz w:val="24"/>
          <w:szCs w:val="24"/>
        </w:rPr>
        <w:t>Palácio do Governo do Estado de Rondônia, em</w:t>
      </w:r>
      <w:r w:rsidR="002C14FF">
        <w:rPr>
          <w:rFonts w:ascii="Times New Roman" w:hAnsi="Times New Roman"/>
          <w:sz w:val="24"/>
          <w:szCs w:val="24"/>
        </w:rPr>
        <w:t xml:space="preserve"> 9</w:t>
      </w:r>
      <w:r w:rsidR="00D54C45" w:rsidRPr="00C82E30">
        <w:rPr>
          <w:rFonts w:ascii="Times New Roman" w:hAnsi="Times New Roman"/>
          <w:sz w:val="24"/>
          <w:szCs w:val="24"/>
        </w:rPr>
        <w:t xml:space="preserve"> </w:t>
      </w:r>
      <w:r w:rsidRPr="00C82E30">
        <w:rPr>
          <w:rFonts w:ascii="Times New Roman" w:hAnsi="Times New Roman"/>
          <w:sz w:val="24"/>
          <w:szCs w:val="24"/>
        </w:rPr>
        <w:t xml:space="preserve">de </w:t>
      </w:r>
      <w:r w:rsidR="00DE43F0" w:rsidRPr="00C82E30">
        <w:rPr>
          <w:rFonts w:ascii="Times New Roman" w:hAnsi="Times New Roman"/>
          <w:sz w:val="24"/>
          <w:szCs w:val="24"/>
        </w:rPr>
        <w:t>maio</w:t>
      </w:r>
      <w:r w:rsidR="00A30582" w:rsidRPr="00C82E30">
        <w:rPr>
          <w:rFonts w:ascii="Times New Roman" w:hAnsi="Times New Roman"/>
          <w:sz w:val="24"/>
          <w:szCs w:val="24"/>
        </w:rPr>
        <w:t xml:space="preserve"> </w:t>
      </w:r>
      <w:r w:rsidRPr="00C82E30">
        <w:rPr>
          <w:rFonts w:ascii="Times New Roman" w:hAnsi="Times New Roman"/>
          <w:sz w:val="24"/>
          <w:szCs w:val="24"/>
        </w:rPr>
        <w:t xml:space="preserve">de 2016, 128º da República. </w:t>
      </w:r>
    </w:p>
    <w:p w:rsidR="007B63C4" w:rsidRPr="00C82E30" w:rsidRDefault="007B63C4" w:rsidP="00C82E30">
      <w:pPr>
        <w:ind w:firstLine="567"/>
        <w:jc w:val="center"/>
        <w:rPr>
          <w:color w:val="000000"/>
        </w:rPr>
      </w:pPr>
    </w:p>
    <w:p w:rsidR="007B63C4" w:rsidRPr="00C82E30" w:rsidRDefault="007B63C4" w:rsidP="00C82E30">
      <w:pPr>
        <w:ind w:firstLine="567"/>
        <w:jc w:val="center"/>
        <w:rPr>
          <w:color w:val="000000"/>
        </w:rPr>
      </w:pPr>
    </w:p>
    <w:p w:rsidR="007B63C4" w:rsidRPr="00C82E30" w:rsidRDefault="007B63C4" w:rsidP="00C82E30">
      <w:pPr>
        <w:ind w:firstLine="567"/>
        <w:jc w:val="center"/>
        <w:rPr>
          <w:color w:val="000000"/>
        </w:rPr>
      </w:pPr>
    </w:p>
    <w:p w:rsidR="007B63C4" w:rsidRPr="00C82E30" w:rsidRDefault="007B63C4" w:rsidP="00C82E30">
      <w:pPr>
        <w:pStyle w:val="Ttulo1"/>
        <w:rPr>
          <w:color w:val="000000"/>
        </w:rPr>
      </w:pPr>
      <w:r w:rsidRPr="00C82E30">
        <w:rPr>
          <w:color w:val="000000"/>
        </w:rPr>
        <w:t>CONFÚCIO AIRES MOURA</w:t>
      </w:r>
    </w:p>
    <w:p w:rsidR="007B63C4" w:rsidRPr="00C82E30" w:rsidRDefault="007B63C4" w:rsidP="00C82E30">
      <w:pPr>
        <w:jc w:val="center"/>
        <w:rPr>
          <w:color w:val="000000"/>
        </w:rPr>
      </w:pPr>
      <w:r w:rsidRPr="00C82E30">
        <w:rPr>
          <w:color w:val="000000"/>
        </w:rPr>
        <w:t>Governador</w:t>
      </w:r>
    </w:p>
    <w:p w:rsidR="007204F4" w:rsidRPr="00C82E30" w:rsidRDefault="007204F4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FB7137" w:rsidRPr="00C82E30" w:rsidRDefault="00FB7137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D54978" w:rsidRDefault="00D549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D54978" w:rsidRDefault="00D549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D54978" w:rsidRDefault="00D549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D54978" w:rsidRPr="00C82E30" w:rsidRDefault="00D549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B70F77" w:rsidRPr="00C82E30" w:rsidRDefault="00B70F77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jc w:val="center"/>
        <w:rPr>
          <w:b/>
          <w:color w:val="000000"/>
          <w:sz w:val="24"/>
          <w:szCs w:val="24"/>
        </w:rPr>
      </w:pPr>
      <w:r w:rsidRPr="00C82E30">
        <w:rPr>
          <w:b/>
          <w:color w:val="000000"/>
          <w:sz w:val="24"/>
          <w:szCs w:val="24"/>
        </w:rPr>
        <w:t>ANEXO I</w:t>
      </w:r>
    </w:p>
    <w:p w:rsidR="00726E78" w:rsidRPr="00C82E30" w:rsidRDefault="00726E78" w:rsidP="00C82E30">
      <w:pPr>
        <w:pStyle w:val="Recuodecorpodetexto2"/>
        <w:ind w:firstLine="567"/>
        <w:jc w:val="center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jc w:val="center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BENS E SERVIÇOS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I - locação de imóveis;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II - apoio administrativo, técnico e operacional;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III - locação de máquinas e equipamentos;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IV - locação de veículos;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V - aquisição de veículos;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VI - manutenção e conservação de veículos;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VII - locações de mão de obra e terceirização;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VIII - serviços de consultoria;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IX - serviços de cópia e reprodução de documentos;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X - serviços de limpeza e conservação;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XI - serviços de telecomunicações;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XII - vigilância ostensiva; e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XIII - aquisição de passagens.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  <w:r w:rsidRPr="00C82E30">
        <w:rPr>
          <w:b/>
          <w:color w:val="000000"/>
          <w:sz w:val="24"/>
          <w:szCs w:val="24"/>
        </w:rPr>
        <w:t>ANEXO II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0"/>
        <w:jc w:val="center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META MÍNIMA DE REDUÇÃO DE CONSUMO COM ENERGIA ELÉTRICA COM BASE NO ANO DE 2015</w:t>
      </w:r>
    </w:p>
    <w:p w:rsidR="00726E78" w:rsidRPr="00C82E30" w:rsidRDefault="00726E78" w:rsidP="00C82E30">
      <w:pPr>
        <w:pStyle w:val="Recuodecorpodetexto2"/>
        <w:ind w:firstLine="0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 xml:space="preserve">I - </w:t>
      </w:r>
      <w:r w:rsidR="00B70F77">
        <w:rPr>
          <w:color w:val="000000"/>
          <w:sz w:val="24"/>
          <w:szCs w:val="24"/>
        </w:rPr>
        <w:t>u</w:t>
      </w:r>
      <w:r w:rsidRPr="00C82E30">
        <w:rPr>
          <w:color w:val="000000"/>
          <w:sz w:val="24"/>
          <w:szCs w:val="24"/>
        </w:rPr>
        <w:t>nidades de saúde, unidades prisionais, usinas e demais unidades de funcionamento integral - mínimo 5%;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 xml:space="preserve">II - </w:t>
      </w:r>
      <w:r w:rsidR="00B70F77">
        <w:rPr>
          <w:color w:val="000000"/>
          <w:sz w:val="24"/>
          <w:szCs w:val="24"/>
        </w:rPr>
        <w:t>u</w:t>
      </w:r>
      <w:r w:rsidRPr="00C82E30">
        <w:rPr>
          <w:color w:val="000000"/>
          <w:sz w:val="24"/>
          <w:szCs w:val="24"/>
        </w:rPr>
        <w:t>nidades educacionais, delegacias e demais unidades técnicas - mínimo 10%; e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 xml:space="preserve">III - </w:t>
      </w:r>
      <w:r w:rsidR="00B70F77">
        <w:rPr>
          <w:color w:val="000000"/>
          <w:sz w:val="24"/>
          <w:szCs w:val="24"/>
        </w:rPr>
        <w:t>u</w:t>
      </w:r>
      <w:r w:rsidRPr="00C82E30">
        <w:rPr>
          <w:color w:val="000000"/>
          <w:sz w:val="24"/>
          <w:szCs w:val="24"/>
        </w:rPr>
        <w:t>nidades administrativas em geral - mínimo 15%.</w:t>
      </w:r>
    </w:p>
    <w:p w:rsidR="00726E78" w:rsidRPr="00C82E30" w:rsidRDefault="00726E78" w:rsidP="00C82E30">
      <w:pPr>
        <w:pStyle w:val="Recuodecorpodetexto2"/>
        <w:ind w:firstLine="0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0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  <w:r w:rsidRPr="00C82E30">
        <w:rPr>
          <w:b/>
          <w:color w:val="000000"/>
          <w:sz w:val="24"/>
          <w:szCs w:val="24"/>
        </w:rPr>
        <w:t>ANEXO III</w:t>
      </w:r>
    </w:p>
    <w:p w:rsidR="00726E78" w:rsidRPr="00C82E30" w:rsidRDefault="00726E78" w:rsidP="00C82E30">
      <w:pPr>
        <w:pStyle w:val="Recuodecorpodetexto2"/>
        <w:jc w:val="center"/>
        <w:rPr>
          <w:b/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0"/>
        <w:jc w:val="center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LIMITE DE DESPESAS MENSAIS COM TELEFONIA MÓVEL E DISTRIBUIÇÃO DOS APARELHOS.</w:t>
      </w:r>
    </w:p>
    <w:p w:rsidR="00726E78" w:rsidRPr="00C82E30" w:rsidRDefault="00726E78" w:rsidP="00C82E30">
      <w:pPr>
        <w:pStyle w:val="Recuodecorpodetexto2"/>
        <w:ind w:firstLine="0"/>
        <w:rPr>
          <w:color w:val="000000"/>
          <w:sz w:val="24"/>
          <w:szCs w:val="24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2498"/>
        <w:gridCol w:w="2477"/>
      </w:tblGrid>
      <w:tr w:rsidR="00726E78" w:rsidRPr="00C82E30" w:rsidTr="00726E78">
        <w:trPr>
          <w:trHeight w:hRule="exact" w:val="26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6E78" w:rsidRPr="00C82E30" w:rsidRDefault="00726E78" w:rsidP="00C82E30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E30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6E78" w:rsidRPr="00C82E30" w:rsidRDefault="00726E78" w:rsidP="00C82E30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E30">
              <w:rPr>
                <w:rFonts w:ascii="Times New Roman" w:hAnsi="Times New Roman"/>
                <w:b/>
                <w:sz w:val="24"/>
                <w:szCs w:val="24"/>
              </w:rPr>
              <w:t>TIPO DE APARELHO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6E78" w:rsidRPr="00C82E30" w:rsidRDefault="00726E78" w:rsidP="00C82E30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E30">
              <w:rPr>
                <w:rFonts w:ascii="Times New Roman" w:hAnsi="Times New Roman"/>
                <w:b/>
                <w:sz w:val="24"/>
                <w:szCs w:val="24"/>
              </w:rPr>
              <w:t>VALOR EM R$</w:t>
            </w:r>
          </w:p>
        </w:tc>
      </w:tr>
      <w:tr w:rsidR="00726E78" w:rsidRPr="00C82E30" w:rsidTr="00726E78">
        <w:trPr>
          <w:trHeight w:hRule="exact" w:val="585"/>
        </w:trPr>
        <w:tc>
          <w:tcPr>
            <w:tcW w:w="4507" w:type="dxa"/>
            <w:shd w:val="clear" w:color="auto" w:fill="FFFFFF"/>
          </w:tcPr>
          <w:p w:rsidR="00726E78" w:rsidRPr="00C82E30" w:rsidRDefault="00726E78" w:rsidP="00C82E30">
            <w:pPr>
              <w:shd w:val="clear" w:color="auto" w:fill="FFFFFF"/>
              <w:ind w:left="22"/>
            </w:pPr>
            <w:r w:rsidRPr="00C82E30">
              <w:t>Governador, Vice Governador, Chefe da Casa Civil e Chefe da Casa Militar.</w:t>
            </w:r>
          </w:p>
        </w:tc>
        <w:tc>
          <w:tcPr>
            <w:tcW w:w="2498" w:type="dxa"/>
            <w:shd w:val="clear" w:color="auto" w:fill="FFFFFF"/>
          </w:tcPr>
          <w:p w:rsidR="00726E78" w:rsidRPr="00C82E30" w:rsidRDefault="00726E78" w:rsidP="00C82E30">
            <w:pPr>
              <w:shd w:val="clear" w:color="auto" w:fill="FFFFFF"/>
              <w:ind w:left="86"/>
              <w:jc w:val="center"/>
            </w:pPr>
            <w:r w:rsidRPr="00C82E30">
              <w:t>Tipo Executivo com acesso de dados.</w:t>
            </w:r>
          </w:p>
        </w:tc>
        <w:tc>
          <w:tcPr>
            <w:tcW w:w="2477" w:type="dxa"/>
            <w:shd w:val="clear" w:color="auto" w:fill="FFFFFF"/>
          </w:tcPr>
          <w:p w:rsidR="00726E78" w:rsidRPr="00C82E30" w:rsidRDefault="00726E78" w:rsidP="00C82E30">
            <w:pPr>
              <w:shd w:val="clear" w:color="auto" w:fill="FFFFFF"/>
              <w:ind w:left="115"/>
              <w:jc w:val="center"/>
            </w:pPr>
            <w:r w:rsidRPr="00C82E30">
              <w:t>Isento</w:t>
            </w:r>
          </w:p>
        </w:tc>
      </w:tr>
      <w:tr w:rsidR="00726E78" w:rsidRPr="00C82E30" w:rsidTr="00726E78">
        <w:trPr>
          <w:trHeight w:hRule="exact" w:val="561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8" w:rsidRPr="00C82E30" w:rsidRDefault="00726E78" w:rsidP="00B70F77">
            <w:pPr>
              <w:shd w:val="clear" w:color="auto" w:fill="FFFFFF"/>
              <w:ind w:left="22"/>
              <w:rPr>
                <w:color w:val="000000"/>
              </w:rPr>
            </w:pPr>
            <w:r w:rsidRPr="00C82E30">
              <w:rPr>
                <w:color w:val="000000"/>
              </w:rPr>
              <w:t>Demais servidores enumerados no inciso I, do art</w:t>
            </w:r>
            <w:r w:rsidR="00B70F77">
              <w:rPr>
                <w:color w:val="000000"/>
              </w:rPr>
              <w:t>igo</w:t>
            </w:r>
            <w:r w:rsidRPr="00C82E30">
              <w:rPr>
                <w:color w:val="000000"/>
              </w:rPr>
              <w:t xml:space="preserve"> 3º</w:t>
            </w:r>
            <w:r w:rsidR="00B70F77">
              <w:rPr>
                <w:color w:val="000000"/>
              </w:rPr>
              <w:t>,</w:t>
            </w:r>
            <w:r w:rsidRPr="00C82E30">
              <w:rPr>
                <w:color w:val="000000"/>
              </w:rPr>
              <w:t xml:space="preserve"> deste Decreto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8" w:rsidRPr="00C82E30" w:rsidRDefault="00726E78" w:rsidP="00C82E30">
            <w:pPr>
              <w:shd w:val="clear" w:color="auto" w:fill="FFFFFF"/>
              <w:ind w:left="86"/>
              <w:jc w:val="center"/>
              <w:rPr>
                <w:color w:val="000000"/>
              </w:rPr>
            </w:pPr>
            <w:r w:rsidRPr="00C82E30">
              <w:rPr>
                <w:color w:val="000000"/>
              </w:rPr>
              <w:t>Tipo Intermediário com acesso de dados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8" w:rsidRPr="00C82E30" w:rsidRDefault="00726E78" w:rsidP="00C82E30">
            <w:pPr>
              <w:shd w:val="clear" w:color="auto" w:fill="FFFFFF"/>
              <w:ind w:left="115"/>
              <w:jc w:val="center"/>
              <w:rPr>
                <w:color w:val="000000"/>
              </w:rPr>
            </w:pPr>
            <w:r w:rsidRPr="00C82E30">
              <w:rPr>
                <w:color w:val="000000"/>
              </w:rPr>
              <w:t>R$ 200,00 (duzentos reais)</w:t>
            </w:r>
          </w:p>
          <w:p w:rsidR="00726E78" w:rsidRPr="00C82E30" w:rsidRDefault="00726E78" w:rsidP="00C82E30">
            <w:pPr>
              <w:shd w:val="clear" w:color="auto" w:fill="FFFFFF"/>
              <w:ind w:left="115"/>
              <w:jc w:val="center"/>
              <w:rPr>
                <w:color w:val="000000"/>
              </w:rPr>
            </w:pPr>
          </w:p>
        </w:tc>
      </w:tr>
      <w:tr w:rsidR="00726E78" w:rsidRPr="00C82E30" w:rsidTr="00726E78">
        <w:trPr>
          <w:trHeight w:hRule="exact" w:val="533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8" w:rsidRPr="00C82E30" w:rsidRDefault="00726E78" w:rsidP="00B70F77">
            <w:pPr>
              <w:shd w:val="clear" w:color="auto" w:fill="FFFFFF"/>
              <w:ind w:left="22"/>
              <w:rPr>
                <w:color w:val="000000"/>
              </w:rPr>
            </w:pPr>
            <w:r w:rsidRPr="00C82E30">
              <w:rPr>
                <w:color w:val="000000"/>
                <w:spacing w:val="-1"/>
              </w:rPr>
              <w:t>Servidores enumerados no inciso II, do art</w:t>
            </w:r>
            <w:r w:rsidR="00B70F77">
              <w:rPr>
                <w:color w:val="000000"/>
                <w:spacing w:val="-1"/>
              </w:rPr>
              <w:t>igo</w:t>
            </w:r>
            <w:r w:rsidRPr="00C82E30">
              <w:rPr>
                <w:color w:val="000000"/>
                <w:spacing w:val="-1"/>
              </w:rPr>
              <w:t xml:space="preserve"> 3</w:t>
            </w:r>
            <w:r w:rsidR="00B70F77">
              <w:rPr>
                <w:color w:val="000000"/>
                <w:spacing w:val="-1"/>
              </w:rPr>
              <w:t>º,</w:t>
            </w:r>
            <w:r w:rsidRPr="00C82E30">
              <w:rPr>
                <w:color w:val="000000"/>
                <w:spacing w:val="-1"/>
              </w:rPr>
              <w:t xml:space="preserve"> </w:t>
            </w:r>
            <w:r w:rsidRPr="00C82E30">
              <w:rPr>
                <w:color w:val="000000"/>
              </w:rPr>
              <w:t>deste Decreto.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8" w:rsidRPr="00C82E30" w:rsidRDefault="00726E78" w:rsidP="00C82E30">
            <w:pPr>
              <w:shd w:val="clear" w:color="auto" w:fill="FFFFFF"/>
              <w:ind w:left="86"/>
              <w:jc w:val="center"/>
              <w:rPr>
                <w:color w:val="000000"/>
              </w:rPr>
            </w:pPr>
            <w:r w:rsidRPr="00C82E30">
              <w:rPr>
                <w:color w:val="000000"/>
              </w:rPr>
              <w:t>Tipo Intermediário com acesso de dados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E78" w:rsidRPr="00C82E30" w:rsidRDefault="00726E78" w:rsidP="00C82E30">
            <w:pPr>
              <w:shd w:val="clear" w:color="auto" w:fill="FFFFFF"/>
              <w:ind w:left="115"/>
              <w:jc w:val="center"/>
              <w:rPr>
                <w:color w:val="000000"/>
              </w:rPr>
            </w:pPr>
            <w:r w:rsidRPr="00C82E30">
              <w:rPr>
                <w:color w:val="000000"/>
              </w:rPr>
              <w:t>R$ 150,00 (cento e cinquenta reais)</w:t>
            </w:r>
          </w:p>
        </w:tc>
      </w:tr>
      <w:tr w:rsidR="00726E78" w:rsidRPr="00C82E30" w:rsidTr="00726E78">
        <w:trPr>
          <w:trHeight w:hRule="exact" w:val="554"/>
        </w:trPr>
        <w:tc>
          <w:tcPr>
            <w:tcW w:w="4507" w:type="dxa"/>
            <w:shd w:val="clear" w:color="auto" w:fill="FFFFFF"/>
          </w:tcPr>
          <w:p w:rsidR="00726E78" w:rsidRPr="00C82E30" w:rsidRDefault="00726E78" w:rsidP="00B70F77">
            <w:pPr>
              <w:shd w:val="clear" w:color="auto" w:fill="FFFFFF"/>
              <w:ind w:right="166" w:firstLine="14"/>
            </w:pPr>
            <w:r w:rsidRPr="00C82E30">
              <w:rPr>
                <w:color w:val="000000"/>
                <w:spacing w:val="-1"/>
              </w:rPr>
              <w:t xml:space="preserve">Servidores enumerados nos incisos III, IV e V, </w:t>
            </w:r>
            <w:r w:rsidRPr="00C82E30">
              <w:rPr>
                <w:color w:val="000000"/>
              </w:rPr>
              <w:t>do</w:t>
            </w:r>
            <w:r w:rsidR="00B70F77">
              <w:rPr>
                <w:color w:val="000000"/>
              </w:rPr>
              <w:t xml:space="preserve"> artigo 3º,</w:t>
            </w:r>
            <w:r w:rsidRPr="00C82E30">
              <w:rPr>
                <w:color w:val="000000"/>
              </w:rPr>
              <w:t xml:space="preserve"> deste Decreto.</w:t>
            </w:r>
          </w:p>
        </w:tc>
        <w:tc>
          <w:tcPr>
            <w:tcW w:w="2498" w:type="dxa"/>
            <w:shd w:val="clear" w:color="auto" w:fill="FFFFFF"/>
          </w:tcPr>
          <w:p w:rsidR="00726E78" w:rsidRPr="00C82E30" w:rsidRDefault="00726E78" w:rsidP="00C82E30">
            <w:pPr>
              <w:shd w:val="clear" w:color="auto" w:fill="FFFFFF"/>
              <w:ind w:left="79" w:right="86"/>
              <w:jc w:val="center"/>
            </w:pPr>
            <w:r w:rsidRPr="00C82E30">
              <w:rPr>
                <w:color w:val="000000"/>
              </w:rPr>
              <w:t>Tipo Intermediário com acesso de dados</w:t>
            </w:r>
          </w:p>
        </w:tc>
        <w:tc>
          <w:tcPr>
            <w:tcW w:w="2477" w:type="dxa"/>
            <w:shd w:val="clear" w:color="auto" w:fill="FFFFFF"/>
          </w:tcPr>
          <w:p w:rsidR="00726E78" w:rsidRPr="00C82E30" w:rsidRDefault="00726E78" w:rsidP="00C82E30">
            <w:pPr>
              <w:shd w:val="clear" w:color="auto" w:fill="FFFFFF"/>
              <w:jc w:val="center"/>
            </w:pPr>
            <w:r w:rsidRPr="00C82E30">
              <w:rPr>
                <w:color w:val="000000"/>
                <w:spacing w:val="-2"/>
              </w:rPr>
              <w:t>R$ 100,00 (cem reais)</w:t>
            </w:r>
          </w:p>
        </w:tc>
      </w:tr>
      <w:tr w:rsidR="00726E78" w:rsidRPr="00C82E30" w:rsidTr="00B70F77">
        <w:trPr>
          <w:trHeight w:hRule="exact" w:val="581"/>
        </w:trPr>
        <w:tc>
          <w:tcPr>
            <w:tcW w:w="4507" w:type="dxa"/>
            <w:shd w:val="clear" w:color="auto" w:fill="FFFFFF"/>
          </w:tcPr>
          <w:p w:rsidR="00726E78" w:rsidRPr="00C82E30" w:rsidRDefault="00726E78" w:rsidP="00B70F77">
            <w:pPr>
              <w:shd w:val="clear" w:color="auto" w:fill="FFFFFF"/>
              <w:ind w:left="7" w:right="50"/>
            </w:pPr>
            <w:r w:rsidRPr="00C82E30">
              <w:rPr>
                <w:color w:val="000000"/>
                <w:spacing w:val="-1"/>
              </w:rPr>
              <w:t xml:space="preserve">Servidores enumerados nos incisos VI e VII, do </w:t>
            </w:r>
            <w:r w:rsidRPr="00C82E30">
              <w:rPr>
                <w:color w:val="000000"/>
              </w:rPr>
              <w:t>art</w:t>
            </w:r>
            <w:r w:rsidR="00B70F77">
              <w:rPr>
                <w:color w:val="000000"/>
              </w:rPr>
              <w:t>igo</w:t>
            </w:r>
            <w:r w:rsidRPr="00C82E30">
              <w:rPr>
                <w:color w:val="000000"/>
              </w:rPr>
              <w:t xml:space="preserve"> 3</w:t>
            </w:r>
            <w:r w:rsidR="00B70F77">
              <w:rPr>
                <w:color w:val="000000"/>
              </w:rPr>
              <w:t>º,</w:t>
            </w:r>
            <w:r w:rsidRPr="00C82E30">
              <w:rPr>
                <w:color w:val="000000"/>
              </w:rPr>
              <w:t xml:space="preserve"> deste Decreto.</w:t>
            </w:r>
          </w:p>
        </w:tc>
        <w:tc>
          <w:tcPr>
            <w:tcW w:w="2498" w:type="dxa"/>
            <w:shd w:val="clear" w:color="auto" w:fill="FFFFFF"/>
          </w:tcPr>
          <w:p w:rsidR="00726E78" w:rsidRPr="00C82E30" w:rsidRDefault="00726E78" w:rsidP="00C82E30">
            <w:pPr>
              <w:shd w:val="clear" w:color="auto" w:fill="FFFFFF"/>
              <w:ind w:left="72"/>
              <w:jc w:val="center"/>
            </w:pPr>
            <w:r w:rsidRPr="00C82E30">
              <w:rPr>
                <w:color w:val="000000"/>
              </w:rPr>
              <w:t>Tipo básico</w:t>
            </w:r>
          </w:p>
        </w:tc>
        <w:tc>
          <w:tcPr>
            <w:tcW w:w="2477" w:type="dxa"/>
            <w:shd w:val="clear" w:color="auto" w:fill="FFFFFF"/>
          </w:tcPr>
          <w:p w:rsidR="00726E78" w:rsidRPr="00C82E30" w:rsidRDefault="00726E78" w:rsidP="00C82E30">
            <w:pPr>
              <w:shd w:val="clear" w:color="auto" w:fill="FFFFFF"/>
              <w:jc w:val="center"/>
            </w:pPr>
            <w:r w:rsidRPr="00C82E30">
              <w:rPr>
                <w:color w:val="000000"/>
                <w:spacing w:val="-1"/>
              </w:rPr>
              <w:t>R$ 30,00 (trinta reais)</w:t>
            </w:r>
          </w:p>
        </w:tc>
      </w:tr>
    </w:tbl>
    <w:p w:rsidR="00726E78" w:rsidRPr="00C82E30" w:rsidRDefault="00726E78" w:rsidP="00C82E30">
      <w:pPr>
        <w:pStyle w:val="Recuodecorpodetexto2"/>
        <w:ind w:firstLine="0"/>
        <w:rPr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260571" w:rsidRPr="00C82E30" w:rsidRDefault="00260571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0"/>
        <w:jc w:val="center"/>
        <w:rPr>
          <w:b/>
          <w:color w:val="000000"/>
          <w:sz w:val="24"/>
          <w:szCs w:val="24"/>
        </w:rPr>
      </w:pPr>
      <w:r w:rsidRPr="00C82E30">
        <w:rPr>
          <w:b/>
          <w:color w:val="000000"/>
          <w:sz w:val="24"/>
          <w:szCs w:val="24"/>
        </w:rPr>
        <w:t>ANEXO IV</w:t>
      </w:r>
    </w:p>
    <w:p w:rsidR="00726E78" w:rsidRPr="00C82E30" w:rsidRDefault="00726E78" w:rsidP="00C82E30">
      <w:pPr>
        <w:pStyle w:val="Recuodecorpodetexto2"/>
        <w:jc w:val="center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0"/>
        <w:jc w:val="center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>CRONOGRAMA DE ENTREGA DE RELATÓRIOS CONCLUSIVOS</w:t>
      </w:r>
    </w:p>
    <w:p w:rsidR="00726E78" w:rsidRPr="00C82E30" w:rsidRDefault="00726E78" w:rsidP="00C82E30">
      <w:pPr>
        <w:pStyle w:val="Recuodecorpodetexto2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 xml:space="preserve">I - </w:t>
      </w:r>
      <w:r w:rsidR="00B70F77">
        <w:rPr>
          <w:color w:val="000000"/>
          <w:sz w:val="24"/>
          <w:szCs w:val="24"/>
        </w:rPr>
        <w:t>g</w:t>
      </w:r>
      <w:r w:rsidRPr="00C82E30">
        <w:rPr>
          <w:color w:val="000000"/>
          <w:sz w:val="24"/>
          <w:szCs w:val="24"/>
        </w:rPr>
        <w:t>rupos e comissões designados no exercício de 2016 - prazo máximo de 180 (cento e oitenta) dias;</w:t>
      </w:r>
    </w:p>
    <w:p w:rsidR="00726E78" w:rsidRPr="00C82E30" w:rsidRDefault="00726E78" w:rsidP="00C82E30">
      <w:pPr>
        <w:pStyle w:val="Recuodecorpodetexto2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 xml:space="preserve">II - </w:t>
      </w:r>
      <w:r w:rsidR="00B70F77">
        <w:rPr>
          <w:color w:val="000000"/>
          <w:sz w:val="24"/>
          <w:szCs w:val="24"/>
        </w:rPr>
        <w:t>g</w:t>
      </w:r>
      <w:r w:rsidRPr="00C82E30">
        <w:rPr>
          <w:color w:val="000000"/>
          <w:sz w:val="24"/>
          <w:szCs w:val="24"/>
        </w:rPr>
        <w:t>rupos e comissões designados no exercício de 2015 - prazo máximo de 90 (noventa) dias; e</w:t>
      </w:r>
    </w:p>
    <w:p w:rsidR="00726E78" w:rsidRPr="00C82E30" w:rsidRDefault="00726E78" w:rsidP="00C82E30">
      <w:pPr>
        <w:pStyle w:val="Recuodecorpodetexto2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rPr>
          <w:color w:val="000000"/>
          <w:sz w:val="24"/>
          <w:szCs w:val="24"/>
        </w:rPr>
      </w:pPr>
      <w:r w:rsidRPr="00C82E30">
        <w:rPr>
          <w:color w:val="000000"/>
          <w:sz w:val="24"/>
          <w:szCs w:val="24"/>
        </w:rPr>
        <w:t xml:space="preserve">III - </w:t>
      </w:r>
      <w:r w:rsidR="00B70F77">
        <w:rPr>
          <w:color w:val="000000"/>
          <w:sz w:val="24"/>
          <w:szCs w:val="24"/>
        </w:rPr>
        <w:t>g</w:t>
      </w:r>
      <w:r w:rsidRPr="00C82E30">
        <w:rPr>
          <w:color w:val="000000"/>
          <w:sz w:val="24"/>
          <w:szCs w:val="24"/>
        </w:rPr>
        <w:t>rupos e comissões designados até o exercício de 2014 - prazo máximo de 45 (quarenta e cinco) dias.</w:t>
      </w: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p w:rsidR="00726E78" w:rsidRPr="00C82E30" w:rsidRDefault="00726E78" w:rsidP="00C82E30">
      <w:pPr>
        <w:pStyle w:val="Recuodecorpodetexto2"/>
        <w:ind w:firstLine="567"/>
        <w:rPr>
          <w:color w:val="000000"/>
          <w:sz w:val="24"/>
          <w:szCs w:val="24"/>
        </w:rPr>
      </w:pPr>
    </w:p>
    <w:sectPr w:rsidR="00726E78" w:rsidRPr="00C82E30" w:rsidSect="00C82E30">
      <w:headerReference w:type="default" r:id="rId9"/>
      <w:pgSz w:w="11907" w:h="16840" w:code="9"/>
      <w:pgMar w:top="1134" w:right="567" w:bottom="567" w:left="1134" w:header="425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81" w:rsidRDefault="004F0081">
      <w:r>
        <w:separator/>
      </w:r>
    </w:p>
  </w:endnote>
  <w:endnote w:type="continuationSeparator" w:id="0">
    <w:p w:rsidR="004F0081" w:rsidRDefault="004F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81" w:rsidRDefault="004F0081">
      <w:r>
        <w:separator/>
      </w:r>
    </w:p>
  </w:footnote>
  <w:footnote w:type="continuationSeparator" w:id="0">
    <w:p w:rsidR="004F0081" w:rsidRDefault="004F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81" w:rsidRPr="00B10D29" w:rsidRDefault="004F0081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0.8pt" o:ole="" fillcolor="window">
          <v:imagedata r:id="rId1" o:title=""/>
        </v:shape>
        <o:OLEObject Type="Embed" ProgID="Word.Picture.8" ShapeID="_x0000_i1025" DrawAspect="Content" ObjectID="_1657623120" r:id="rId2"/>
      </w:object>
    </w:r>
  </w:p>
  <w:p w:rsidR="004F0081" w:rsidRPr="00B10D29" w:rsidRDefault="004F0081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0081" w:rsidRPr="00B10D29" w:rsidRDefault="004F0081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0081" w:rsidRDefault="004F008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4386A"/>
    <w:rsid w:val="00050034"/>
    <w:rsid w:val="000503DD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967DE"/>
    <w:rsid w:val="000A3B4C"/>
    <w:rsid w:val="000A468D"/>
    <w:rsid w:val="000B56F7"/>
    <w:rsid w:val="000B5DBE"/>
    <w:rsid w:val="000B6767"/>
    <w:rsid w:val="000B79C2"/>
    <w:rsid w:val="000C0E21"/>
    <w:rsid w:val="000C0EBF"/>
    <w:rsid w:val="000C5D63"/>
    <w:rsid w:val="000C5DF4"/>
    <w:rsid w:val="000C5E1F"/>
    <w:rsid w:val="000C73D9"/>
    <w:rsid w:val="000D556C"/>
    <w:rsid w:val="000D680B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432A5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B6A09"/>
    <w:rsid w:val="001C06BE"/>
    <w:rsid w:val="001C1767"/>
    <w:rsid w:val="001C354E"/>
    <w:rsid w:val="001D4D3C"/>
    <w:rsid w:val="001E0B09"/>
    <w:rsid w:val="001E13A0"/>
    <w:rsid w:val="001E214D"/>
    <w:rsid w:val="001E5B05"/>
    <w:rsid w:val="001F00CA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571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14FF"/>
    <w:rsid w:val="002C269E"/>
    <w:rsid w:val="002C5656"/>
    <w:rsid w:val="002C58C4"/>
    <w:rsid w:val="002D0DDC"/>
    <w:rsid w:val="002D3C05"/>
    <w:rsid w:val="002E42CF"/>
    <w:rsid w:val="002E579B"/>
    <w:rsid w:val="002F1674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35824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0E9C"/>
    <w:rsid w:val="0039267D"/>
    <w:rsid w:val="00397439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3FA4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3CCD"/>
    <w:rsid w:val="00467009"/>
    <w:rsid w:val="0047197E"/>
    <w:rsid w:val="00472288"/>
    <w:rsid w:val="00480CF6"/>
    <w:rsid w:val="00485374"/>
    <w:rsid w:val="0049557C"/>
    <w:rsid w:val="0049620A"/>
    <w:rsid w:val="004A391F"/>
    <w:rsid w:val="004A3C8B"/>
    <w:rsid w:val="004A7A00"/>
    <w:rsid w:val="004B27B9"/>
    <w:rsid w:val="004B49F2"/>
    <w:rsid w:val="004B5969"/>
    <w:rsid w:val="004B5E78"/>
    <w:rsid w:val="004C0665"/>
    <w:rsid w:val="004C1821"/>
    <w:rsid w:val="004C4D06"/>
    <w:rsid w:val="004C6F6E"/>
    <w:rsid w:val="004D0320"/>
    <w:rsid w:val="004D1BA4"/>
    <w:rsid w:val="004E672A"/>
    <w:rsid w:val="004E6F7F"/>
    <w:rsid w:val="004F0081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1E8D"/>
    <w:rsid w:val="005639FB"/>
    <w:rsid w:val="00563E90"/>
    <w:rsid w:val="00567C87"/>
    <w:rsid w:val="0057494F"/>
    <w:rsid w:val="00581D56"/>
    <w:rsid w:val="00592407"/>
    <w:rsid w:val="005A014B"/>
    <w:rsid w:val="005A0242"/>
    <w:rsid w:val="005A03A1"/>
    <w:rsid w:val="005A5645"/>
    <w:rsid w:val="005B0509"/>
    <w:rsid w:val="005B3B14"/>
    <w:rsid w:val="005B7362"/>
    <w:rsid w:val="005B75FF"/>
    <w:rsid w:val="005B7E34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619E"/>
    <w:rsid w:val="005F7665"/>
    <w:rsid w:val="0060638A"/>
    <w:rsid w:val="00614F6D"/>
    <w:rsid w:val="0062097F"/>
    <w:rsid w:val="00621627"/>
    <w:rsid w:val="00623C4C"/>
    <w:rsid w:val="00623DE8"/>
    <w:rsid w:val="0062620B"/>
    <w:rsid w:val="0062689F"/>
    <w:rsid w:val="00632129"/>
    <w:rsid w:val="0063384F"/>
    <w:rsid w:val="0063704A"/>
    <w:rsid w:val="00640786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92D51"/>
    <w:rsid w:val="00695159"/>
    <w:rsid w:val="0069630A"/>
    <w:rsid w:val="006A102A"/>
    <w:rsid w:val="006A4844"/>
    <w:rsid w:val="006A5B3B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0C64"/>
    <w:rsid w:val="006F6728"/>
    <w:rsid w:val="0070470D"/>
    <w:rsid w:val="00711443"/>
    <w:rsid w:val="00713125"/>
    <w:rsid w:val="00714B04"/>
    <w:rsid w:val="00716780"/>
    <w:rsid w:val="007204F4"/>
    <w:rsid w:val="007237CA"/>
    <w:rsid w:val="007268D9"/>
    <w:rsid w:val="00726E78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8716B"/>
    <w:rsid w:val="00790D25"/>
    <w:rsid w:val="00797A9F"/>
    <w:rsid w:val="007A4445"/>
    <w:rsid w:val="007A56BA"/>
    <w:rsid w:val="007B12E0"/>
    <w:rsid w:val="007B2A37"/>
    <w:rsid w:val="007B2A87"/>
    <w:rsid w:val="007B63C4"/>
    <w:rsid w:val="007B7840"/>
    <w:rsid w:val="007C35C8"/>
    <w:rsid w:val="007C5511"/>
    <w:rsid w:val="007D2F25"/>
    <w:rsid w:val="007D563A"/>
    <w:rsid w:val="007D604B"/>
    <w:rsid w:val="007E02F9"/>
    <w:rsid w:val="007E2DA3"/>
    <w:rsid w:val="007E6F00"/>
    <w:rsid w:val="007F1142"/>
    <w:rsid w:val="007F698D"/>
    <w:rsid w:val="007F71B0"/>
    <w:rsid w:val="008003BF"/>
    <w:rsid w:val="0080082B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51B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97B2E"/>
    <w:rsid w:val="008A22A4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0EF0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10E4"/>
    <w:rsid w:val="0093245F"/>
    <w:rsid w:val="00933A92"/>
    <w:rsid w:val="00937502"/>
    <w:rsid w:val="00950CA9"/>
    <w:rsid w:val="00954DB4"/>
    <w:rsid w:val="00955BF7"/>
    <w:rsid w:val="00962AE5"/>
    <w:rsid w:val="009668DF"/>
    <w:rsid w:val="00970033"/>
    <w:rsid w:val="00970A6A"/>
    <w:rsid w:val="00970C41"/>
    <w:rsid w:val="009713F6"/>
    <w:rsid w:val="00971E44"/>
    <w:rsid w:val="009725C0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0D88"/>
    <w:rsid w:val="009A1375"/>
    <w:rsid w:val="009A7CD5"/>
    <w:rsid w:val="009B0BB3"/>
    <w:rsid w:val="009B4165"/>
    <w:rsid w:val="009B5D51"/>
    <w:rsid w:val="009C3778"/>
    <w:rsid w:val="009C38E8"/>
    <w:rsid w:val="009C6B43"/>
    <w:rsid w:val="009D6742"/>
    <w:rsid w:val="009D7C7A"/>
    <w:rsid w:val="009E2177"/>
    <w:rsid w:val="009E2390"/>
    <w:rsid w:val="009F0E73"/>
    <w:rsid w:val="009F77B1"/>
    <w:rsid w:val="00A2362F"/>
    <w:rsid w:val="00A255BE"/>
    <w:rsid w:val="00A2614E"/>
    <w:rsid w:val="00A26A67"/>
    <w:rsid w:val="00A272AE"/>
    <w:rsid w:val="00A27568"/>
    <w:rsid w:val="00A30582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525C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AF5F2B"/>
    <w:rsid w:val="00B009C6"/>
    <w:rsid w:val="00B00D96"/>
    <w:rsid w:val="00B024FB"/>
    <w:rsid w:val="00B029FF"/>
    <w:rsid w:val="00B06BD9"/>
    <w:rsid w:val="00B101AE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3356"/>
    <w:rsid w:val="00B565AA"/>
    <w:rsid w:val="00B57711"/>
    <w:rsid w:val="00B57EA5"/>
    <w:rsid w:val="00B635B9"/>
    <w:rsid w:val="00B63621"/>
    <w:rsid w:val="00B70452"/>
    <w:rsid w:val="00B70F77"/>
    <w:rsid w:val="00B73774"/>
    <w:rsid w:val="00B737BD"/>
    <w:rsid w:val="00B74238"/>
    <w:rsid w:val="00B8167A"/>
    <w:rsid w:val="00B830C5"/>
    <w:rsid w:val="00B95752"/>
    <w:rsid w:val="00B96946"/>
    <w:rsid w:val="00BA32AE"/>
    <w:rsid w:val="00BA360F"/>
    <w:rsid w:val="00BA5C8B"/>
    <w:rsid w:val="00BA70E5"/>
    <w:rsid w:val="00BA7213"/>
    <w:rsid w:val="00BA78FE"/>
    <w:rsid w:val="00BB00A3"/>
    <w:rsid w:val="00BB08E6"/>
    <w:rsid w:val="00BB549C"/>
    <w:rsid w:val="00BB5E6E"/>
    <w:rsid w:val="00BB65E0"/>
    <w:rsid w:val="00BC0260"/>
    <w:rsid w:val="00BC0DC5"/>
    <w:rsid w:val="00BC4ABC"/>
    <w:rsid w:val="00BD30A5"/>
    <w:rsid w:val="00BD6328"/>
    <w:rsid w:val="00BE41A2"/>
    <w:rsid w:val="00BE4A06"/>
    <w:rsid w:val="00BE5959"/>
    <w:rsid w:val="00BF68D7"/>
    <w:rsid w:val="00C018D1"/>
    <w:rsid w:val="00C03D49"/>
    <w:rsid w:val="00C11036"/>
    <w:rsid w:val="00C11761"/>
    <w:rsid w:val="00C15FA6"/>
    <w:rsid w:val="00C17CFB"/>
    <w:rsid w:val="00C27769"/>
    <w:rsid w:val="00C30820"/>
    <w:rsid w:val="00C3527D"/>
    <w:rsid w:val="00C4396A"/>
    <w:rsid w:val="00C5643A"/>
    <w:rsid w:val="00C659F8"/>
    <w:rsid w:val="00C65A57"/>
    <w:rsid w:val="00C72632"/>
    <w:rsid w:val="00C74803"/>
    <w:rsid w:val="00C77A73"/>
    <w:rsid w:val="00C82125"/>
    <w:rsid w:val="00C82E30"/>
    <w:rsid w:val="00C84B2B"/>
    <w:rsid w:val="00C85252"/>
    <w:rsid w:val="00C92DB1"/>
    <w:rsid w:val="00CA5A68"/>
    <w:rsid w:val="00CB0558"/>
    <w:rsid w:val="00CB327D"/>
    <w:rsid w:val="00CB5BC4"/>
    <w:rsid w:val="00CB7513"/>
    <w:rsid w:val="00CC66EB"/>
    <w:rsid w:val="00CC6E01"/>
    <w:rsid w:val="00CC6E25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55F2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978"/>
    <w:rsid w:val="00D54A3A"/>
    <w:rsid w:val="00D54C45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43F0"/>
    <w:rsid w:val="00DE622F"/>
    <w:rsid w:val="00DF38F5"/>
    <w:rsid w:val="00DF4D45"/>
    <w:rsid w:val="00E01316"/>
    <w:rsid w:val="00E104B8"/>
    <w:rsid w:val="00E1210F"/>
    <w:rsid w:val="00E139A7"/>
    <w:rsid w:val="00E20E71"/>
    <w:rsid w:val="00E221C1"/>
    <w:rsid w:val="00E24539"/>
    <w:rsid w:val="00E30E87"/>
    <w:rsid w:val="00E33AD1"/>
    <w:rsid w:val="00E364B6"/>
    <w:rsid w:val="00E37A49"/>
    <w:rsid w:val="00E37D3E"/>
    <w:rsid w:val="00E426EE"/>
    <w:rsid w:val="00E56311"/>
    <w:rsid w:val="00E6233A"/>
    <w:rsid w:val="00E64B00"/>
    <w:rsid w:val="00E6723E"/>
    <w:rsid w:val="00E70A6D"/>
    <w:rsid w:val="00E71F0B"/>
    <w:rsid w:val="00E72907"/>
    <w:rsid w:val="00E73650"/>
    <w:rsid w:val="00E74A48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3E95"/>
    <w:rsid w:val="00F045EF"/>
    <w:rsid w:val="00F17A1E"/>
    <w:rsid w:val="00F26899"/>
    <w:rsid w:val="00F27AF7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025"/>
    <w:rsid w:val="00F55BFB"/>
    <w:rsid w:val="00F57653"/>
    <w:rsid w:val="00F57C22"/>
    <w:rsid w:val="00F62A24"/>
    <w:rsid w:val="00F67A81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53B"/>
    <w:rsid w:val="00FB2899"/>
    <w:rsid w:val="00FB536E"/>
    <w:rsid w:val="00FB53B5"/>
    <w:rsid w:val="00FB67ED"/>
    <w:rsid w:val="00FB7137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3ACD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docId w15:val="{41CC50B6-5119-46F5-9290-3BAEDB59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C82E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82E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F55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62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7E95-9B2E-468E-8983-0C348B7A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3381</Words>
  <Characters>18263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Barbara Camille Barrozo do Carmo</cp:lastModifiedBy>
  <cp:revision>40</cp:revision>
  <cp:lastPrinted>2016-05-05T11:34:00Z</cp:lastPrinted>
  <dcterms:created xsi:type="dcterms:W3CDTF">2016-05-04T14:48:00Z</dcterms:created>
  <dcterms:modified xsi:type="dcterms:W3CDTF">2020-07-30T18:06:00Z</dcterms:modified>
</cp:coreProperties>
</file>