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Pr="006A3E0C" w:rsidRDefault="008D1CF1" w:rsidP="006A3E0C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6A3E0C">
        <w:rPr>
          <w:sz w:val="24"/>
          <w:szCs w:val="24"/>
        </w:rPr>
        <w:t>DECRETO N.</w:t>
      </w:r>
      <w:r w:rsidR="00DC7534">
        <w:rPr>
          <w:sz w:val="24"/>
          <w:szCs w:val="24"/>
        </w:rPr>
        <w:t xml:space="preserve"> 20.691</w:t>
      </w:r>
      <w:r w:rsidR="002E001D" w:rsidRPr="006A3E0C">
        <w:rPr>
          <w:sz w:val="24"/>
          <w:szCs w:val="24"/>
        </w:rPr>
        <w:t>,</w:t>
      </w:r>
      <w:r w:rsidRPr="006A3E0C">
        <w:rPr>
          <w:sz w:val="24"/>
          <w:szCs w:val="24"/>
        </w:rPr>
        <w:t xml:space="preserve"> DE</w:t>
      </w:r>
      <w:r w:rsidR="00DC7534">
        <w:rPr>
          <w:sz w:val="24"/>
          <w:szCs w:val="24"/>
        </w:rPr>
        <w:t xml:space="preserve"> 21 </w:t>
      </w:r>
      <w:r w:rsidRPr="006A3E0C">
        <w:rPr>
          <w:sz w:val="24"/>
          <w:szCs w:val="24"/>
        </w:rPr>
        <w:t>DE</w:t>
      </w:r>
      <w:r w:rsidR="00883AE0" w:rsidRPr="006A3E0C">
        <w:rPr>
          <w:sz w:val="24"/>
          <w:szCs w:val="24"/>
        </w:rPr>
        <w:t xml:space="preserve"> </w:t>
      </w:r>
      <w:r w:rsidR="00F82850" w:rsidRPr="006A3E0C">
        <w:rPr>
          <w:sz w:val="24"/>
          <w:szCs w:val="24"/>
        </w:rPr>
        <w:t>MARÇO</w:t>
      </w:r>
      <w:r w:rsidR="00883AE0"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</w:rPr>
        <w:t>DE 201</w:t>
      </w:r>
      <w:r w:rsidR="00683220" w:rsidRPr="006A3E0C">
        <w:rPr>
          <w:sz w:val="24"/>
          <w:szCs w:val="24"/>
        </w:rPr>
        <w:t>6</w:t>
      </w:r>
      <w:r w:rsidRPr="006A3E0C">
        <w:rPr>
          <w:sz w:val="24"/>
          <w:szCs w:val="24"/>
        </w:rPr>
        <w:t>.</w:t>
      </w:r>
    </w:p>
    <w:p w:rsidR="00774532" w:rsidRPr="006A3E0C" w:rsidRDefault="00774532" w:rsidP="006A3E0C">
      <w:pPr>
        <w:ind w:right="-3"/>
        <w:jc w:val="both"/>
        <w:rPr>
          <w:sz w:val="24"/>
          <w:szCs w:val="24"/>
        </w:rPr>
      </w:pPr>
    </w:p>
    <w:p w:rsidR="008D1CF1" w:rsidRPr="006A3E0C" w:rsidRDefault="006A3E0C" w:rsidP="006A3E0C">
      <w:pPr>
        <w:pStyle w:val="Recuodecorpodetexto"/>
        <w:ind w:left="5103" w:firstLine="0"/>
        <w:rPr>
          <w:color w:val="auto"/>
          <w:sz w:val="24"/>
          <w:szCs w:val="24"/>
        </w:rPr>
      </w:pPr>
      <w:r w:rsidRPr="006A3E0C">
        <w:rPr>
          <w:color w:val="auto"/>
          <w:sz w:val="24"/>
          <w:szCs w:val="24"/>
        </w:rPr>
        <w:t xml:space="preserve">Determina a regularização contábil do patrimônio de </w:t>
      </w:r>
      <w:r w:rsidR="00E06683">
        <w:rPr>
          <w:color w:val="auto"/>
          <w:sz w:val="24"/>
          <w:szCs w:val="24"/>
        </w:rPr>
        <w:t>u</w:t>
      </w:r>
      <w:r w:rsidR="00E06683" w:rsidRPr="006A3E0C">
        <w:rPr>
          <w:color w:val="auto"/>
          <w:sz w:val="24"/>
          <w:szCs w:val="24"/>
        </w:rPr>
        <w:t xml:space="preserve">nidades </w:t>
      </w:r>
      <w:r w:rsidR="00E06683">
        <w:rPr>
          <w:color w:val="auto"/>
          <w:sz w:val="24"/>
          <w:szCs w:val="24"/>
        </w:rPr>
        <w:t>g</w:t>
      </w:r>
      <w:r w:rsidR="00E06683" w:rsidRPr="006A3E0C">
        <w:rPr>
          <w:color w:val="auto"/>
          <w:sz w:val="24"/>
          <w:szCs w:val="24"/>
        </w:rPr>
        <w:t xml:space="preserve">estoras </w:t>
      </w:r>
      <w:r w:rsidR="00E06683">
        <w:rPr>
          <w:color w:val="auto"/>
          <w:sz w:val="24"/>
          <w:szCs w:val="24"/>
        </w:rPr>
        <w:t>e</w:t>
      </w:r>
      <w:r w:rsidR="00E06683" w:rsidRPr="006A3E0C">
        <w:rPr>
          <w:color w:val="auto"/>
          <w:sz w:val="24"/>
          <w:szCs w:val="24"/>
        </w:rPr>
        <w:t xml:space="preserve">xtintas e </w:t>
      </w:r>
      <w:r w:rsidR="00E06683">
        <w:rPr>
          <w:color w:val="auto"/>
          <w:sz w:val="24"/>
          <w:szCs w:val="24"/>
        </w:rPr>
        <w:t>i</w:t>
      </w:r>
      <w:r w:rsidR="00E06683" w:rsidRPr="006A3E0C">
        <w:rPr>
          <w:color w:val="auto"/>
          <w:sz w:val="24"/>
          <w:szCs w:val="24"/>
        </w:rPr>
        <w:t>nativas</w:t>
      </w:r>
      <w:r w:rsidR="006E164E" w:rsidRPr="006A3E0C">
        <w:rPr>
          <w:color w:val="auto"/>
          <w:sz w:val="24"/>
          <w:szCs w:val="24"/>
        </w:rPr>
        <w:t>.</w:t>
      </w:r>
    </w:p>
    <w:p w:rsidR="00140BB3" w:rsidRPr="006A3E0C" w:rsidRDefault="00140BB3" w:rsidP="006A3E0C">
      <w:pPr>
        <w:ind w:firstLine="567"/>
        <w:jc w:val="both"/>
        <w:rPr>
          <w:sz w:val="24"/>
          <w:szCs w:val="24"/>
        </w:rPr>
      </w:pPr>
    </w:p>
    <w:p w:rsidR="000939CC" w:rsidRPr="006A3E0C" w:rsidRDefault="009B3AB4" w:rsidP="006A3E0C">
      <w:pPr>
        <w:ind w:firstLine="567"/>
        <w:jc w:val="both"/>
        <w:rPr>
          <w:sz w:val="24"/>
          <w:szCs w:val="24"/>
        </w:rPr>
      </w:pPr>
      <w:r w:rsidRPr="006A3E0C">
        <w:rPr>
          <w:sz w:val="24"/>
          <w:szCs w:val="24"/>
        </w:rPr>
        <w:t>O GOVERNADOR DO ESTADO DE RONDÔNIA, no uso das atribuições que lhe confere o artigo 65, inci</w:t>
      </w:r>
      <w:r w:rsidR="00CE216F" w:rsidRPr="006A3E0C">
        <w:rPr>
          <w:sz w:val="24"/>
          <w:szCs w:val="24"/>
        </w:rPr>
        <w:t>so V, da Constituição Estadual</w:t>
      </w:r>
      <w:r w:rsidR="009867E7" w:rsidRPr="006A3E0C">
        <w:rPr>
          <w:sz w:val="24"/>
          <w:szCs w:val="24"/>
        </w:rPr>
        <w:t>,</w:t>
      </w:r>
      <w:r w:rsidR="009D6D6C">
        <w:rPr>
          <w:sz w:val="24"/>
          <w:szCs w:val="24"/>
        </w:rPr>
        <w:t xml:space="preserve"> e</w:t>
      </w:r>
    </w:p>
    <w:p w:rsidR="00E02ABA" w:rsidRPr="006A3E0C" w:rsidRDefault="00E02ABA" w:rsidP="006A3E0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 xml:space="preserve">Considerando a elaboração da prestação de contas do exercício de 2015; 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Considerando a necessidade de promover a transparência, a confiabilidade e a consistência dos dados contábeis;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Considerando os princípios contábeis da entidade, continuidade, oportunidade e prudência;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 xml:space="preserve">Considerando a observação obrigatória do atributo da primazia da essência sobre a forma como característica qualitativa das informações contábeis; 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Considerando a Resolução CFC 1121/2008;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Considerando as disposições da Lei Federal nº 4.320, de 17 de março de 1964;</w:t>
      </w:r>
      <w:r w:rsidR="00E06683">
        <w:rPr>
          <w:sz w:val="24"/>
          <w:szCs w:val="24"/>
        </w:rPr>
        <w:t xml:space="preserve"> e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F76750" w:rsidRPr="006A3E0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Considerando a necessidade de evidenciar adequadamente o patrimônio pertencente</w:t>
      </w:r>
      <w:r>
        <w:rPr>
          <w:sz w:val="24"/>
          <w:szCs w:val="24"/>
        </w:rPr>
        <w:t xml:space="preserve"> às unidades gestoras do Estado</w:t>
      </w:r>
      <w:r w:rsidR="00506DF4" w:rsidRPr="006A3E0C">
        <w:rPr>
          <w:sz w:val="24"/>
          <w:szCs w:val="24"/>
        </w:rPr>
        <w:t>,</w:t>
      </w:r>
    </w:p>
    <w:p w:rsidR="00F76750" w:rsidRPr="006A3E0C" w:rsidRDefault="00F76750" w:rsidP="006A3E0C">
      <w:pPr>
        <w:ind w:firstLine="567"/>
        <w:jc w:val="both"/>
        <w:rPr>
          <w:sz w:val="24"/>
          <w:szCs w:val="24"/>
        </w:rPr>
      </w:pPr>
    </w:p>
    <w:p w:rsidR="009C5C10" w:rsidRPr="006A3E0C" w:rsidRDefault="00127661" w:rsidP="006A3E0C">
      <w:pPr>
        <w:ind w:firstLine="567"/>
        <w:jc w:val="both"/>
        <w:rPr>
          <w:sz w:val="24"/>
          <w:szCs w:val="24"/>
        </w:rPr>
      </w:pPr>
      <w:r w:rsidRPr="006A3E0C">
        <w:rPr>
          <w:sz w:val="24"/>
          <w:szCs w:val="24"/>
          <w:u w:val="single"/>
        </w:rPr>
        <w:t>D</w:t>
      </w:r>
      <w:r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  <w:u w:val="single"/>
        </w:rPr>
        <w:t>E</w:t>
      </w:r>
      <w:r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  <w:u w:val="single"/>
        </w:rPr>
        <w:t>C</w:t>
      </w:r>
      <w:r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  <w:u w:val="single"/>
        </w:rPr>
        <w:t>R</w:t>
      </w:r>
      <w:r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  <w:u w:val="single"/>
        </w:rPr>
        <w:t>E</w:t>
      </w:r>
      <w:r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  <w:u w:val="single"/>
        </w:rPr>
        <w:t>T</w:t>
      </w:r>
      <w:r w:rsidRPr="006A3E0C">
        <w:rPr>
          <w:sz w:val="24"/>
          <w:szCs w:val="24"/>
        </w:rPr>
        <w:t xml:space="preserve"> </w:t>
      </w:r>
      <w:r w:rsidRPr="006A3E0C">
        <w:rPr>
          <w:sz w:val="24"/>
          <w:szCs w:val="24"/>
          <w:u w:val="single"/>
        </w:rPr>
        <w:t>A</w:t>
      </w:r>
      <w:r w:rsidRPr="006A3E0C">
        <w:rPr>
          <w:sz w:val="24"/>
          <w:szCs w:val="24"/>
        </w:rPr>
        <w:t>:</w:t>
      </w:r>
    </w:p>
    <w:p w:rsidR="000C06B0" w:rsidRPr="006A3E0C" w:rsidRDefault="000C06B0" w:rsidP="006A3E0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Art. 1º</w:t>
      </w:r>
      <w:r w:rsidR="00AC03E0">
        <w:rPr>
          <w:sz w:val="24"/>
          <w:szCs w:val="24"/>
        </w:rPr>
        <w:t>.</w:t>
      </w:r>
      <w:r w:rsidRPr="009D6D6C">
        <w:rPr>
          <w:sz w:val="24"/>
          <w:szCs w:val="24"/>
        </w:rPr>
        <w:t xml:space="preserve"> Em caso de extinção ou inatividade de órgãos e entidades do Poder Executivo Estadual, as unidades gestoras sucessoras terão o prazo de </w:t>
      </w:r>
      <w:r>
        <w:rPr>
          <w:sz w:val="24"/>
          <w:szCs w:val="24"/>
        </w:rPr>
        <w:t>30 (</w:t>
      </w:r>
      <w:r w:rsidRPr="009D6D6C">
        <w:rPr>
          <w:sz w:val="24"/>
          <w:szCs w:val="24"/>
        </w:rPr>
        <w:t>trinta</w:t>
      </w:r>
      <w:r>
        <w:rPr>
          <w:sz w:val="24"/>
          <w:szCs w:val="24"/>
        </w:rPr>
        <w:t>)</w:t>
      </w:r>
      <w:r w:rsidRPr="009D6D6C">
        <w:rPr>
          <w:sz w:val="24"/>
          <w:szCs w:val="24"/>
        </w:rPr>
        <w:t xml:space="preserve"> dias para a incorporação no SIAFEM de seu patrimônio, salvo disposição em contrár</w:t>
      </w:r>
      <w:r>
        <w:rPr>
          <w:sz w:val="24"/>
          <w:szCs w:val="24"/>
        </w:rPr>
        <w:t>io.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 xml:space="preserve">Parágrafo único. Considera-se unidade gestora sucessora a determinada por </w:t>
      </w:r>
      <w:r w:rsidR="00AC03E0">
        <w:rPr>
          <w:sz w:val="24"/>
          <w:szCs w:val="24"/>
        </w:rPr>
        <w:t>L</w:t>
      </w:r>
      <w:r w:rsidRPr="009D6D6C">
        <w:rPr>
          <w:sz w:val="24"/>
          <w:szCs w:val="24"/>
        </w:rPr>
        <w:t>ei ou a que usufrua o patrimônio ou a que detenha competências correlatas.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Art. 2º</w:t>
      </w:r>
      <w:r w:rsidR="00AC03E0">
        <w:rPr>
          <w:sz w:val="24"/>
          <w:szCs w:val="24"/>
        </w:rPr>
        <w:t>.</w:t>
      </w:r>
      <w:r w:rsidRPr="009D6D6C">
        <w:rPr>
          <w:sz w:val="24"/>
          <w:szCs w:val="24"/>
        </w:rPr>
        <w:t xml:space="preserve"> Os saldos patrimoniais existentes no SIAFEM, na data da publicaç</w:t>
      </w:r>
      <w:r w:rsidR="00A36F49">
        <w:rPr>
          <w:sz w:val="24"/>
          <w:szCs w:val="24"/>
        </w:rPr>
        <w:t>ão deste Decreto, pertencentes às</w:t>
      </w:r>
      <w:r w:rsidRPr="009D6D6C">
        <w:rPr>
          <w:sz w:val="24"/>
          <w:szCs w:val="24"/>
        </w:rPr>
        <w:t xml:space="preserve"> unidades gestoras extintas ou inativas</w:t>
      </w:r>
      <w:r w:rsidR="00A36F49">
        <w:rPr>
          <w:sz w:val="24"/>
          <w:szCs w:val="24"/>
        </w:rPr>
        <w:t>,</w:t>
      </w:r>
      <w:r w:rsidRPr="009D6D6C">
        <w:rPr>
          <w:sz w:val="24"/>
          <w:szCs w:val="24"/>
        </w:rPr>
        <w:t xml:space="preserve"> deverão ser incorporados ao patrimônio das unidades gestoras sucessoras no prazo de </w:t>
      </w:r>
      <w:r w:rsidR="00AC03E0">
        <w:rPr>
          <w:sz w:val="24"/>
          <w:szCs w:val="24"/>
        </w:rPr>
        <w:t>30 (</w:t>
      </w:r>
      <w:r w:rsidRPr="009D6D6C">
        <w:rPr>
          <w:sz w:val="24"/>
          <w:szCs w:val="24"/>
        </w:rPr>
        <w:t>trinta</w:t>
      </w:r>
      <w:r w:rsidR="00AC03E0">
        <w:rPr>
          <w:sz w:val="24"/>
          <w:szCs w:val="24"/>
        </w:rPr>
        <w:t>)</w:t>
      </w:r>
      <w:r w:rsidRPr="009D6D6C">
        <w:rPr>
          <w:sz w:val="24"/>
          <w:szCs w:val="24"/>
        </w:rPr>
        <w:t xml:space="preserve"> dias,</w:t>
      </w:r>
      <w:r w:rsidR="00AC03E0">
        <w:rPr>
          <w:sz w:val="24"/>
          <w:szCs w:val="24"/>
        </w:rPr>
        <w:t xml:space="preserve"> salvo disposição em contrário.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  <w:r w:rsidRPr="009D6D6C">
        <w:rPr>
          <w:sz w:val="24"/>
          <w:szCs w:val="24"/>
        </w:rPr>
        <w:t>Art. 3º</w:t>
      </w:r>
      <w:r w:rsidR="00AC03E0">
        <w:rPr>
          <w:sz w:val="24"/>
          <w:szCs w:val="24"/>
        </w:rPr>
        <w:t>.</w:t>
      </w:r>
      <w:r w:rsidRPr="009D6D6C">
        <w:rPr>
          <w:sz w:val="24"/>
          <w:szCs w:val="24"/>
        </w:rPr>
        <w:t xml:space="preserve"> O Superinte</w:t>
      </w:r>
      <w:r w:rsidR="00E06683">
        <w:rPr>
          <w:sz w:val="24"/>
          <w:szCs w:val="24"/>
        </w:rPr>
        <w:t>ndente de Contabilidade expedirá</w:t>
      </w:r>
      <w:r w:rsidRPr="009D6D6C">
        <w:rPr>
          <w:sz w:val="24"/>
          <w:szCs w:val="24"/>
        </w:rPr>
        <w:t xml:space="preserve"> </w:t>
      </w:r>
      <w:r w:rsidR="00A36F49">
        <w:rPr>
          <w:sz w:val="24"/>
          <w:szCs w:val="24"/>
        </w:rPr>
        <w:t>para</w:t>
      </w:r>
      <w:r w:rsidRPr="009D6D6C">
        <w:rPr>
          <w:sz w:val="24"/>
          <w:szCs w:val="24"/>
        </w:rPr>
        <w:t xml:space="preserve"> cada caso, ato próprio e específico</w:t>
      </w:r>
      <w:r w:rsidR="00A36F49">
        <w:rPr>
          <w:sz w:val="24"/>
          <w:szCs w:val="24"/>
        </w:rPr>
        <w:t>,</w:t>
      </w:r>
      <w:r w:rsidRPr="009D6D6C">
        <w:rPr>
          <w:sz w:val="24"/>
          <w:szCs w:val="24"/>
        </w:rPr>
        <w:t xml:space="preserve"> identificando de modo claro e inequívoco o órgão ou entidade extinto, bem como os respectivos sucessores.</w:t>
      </w:r>
    </w:p>
    <w:p w:rsidR="009D6D6C" w:rsidRPr="009D6D6C" w:rsidRDefault="009D6D6C" w:rsidP="009D6D6C">
      <w:pPr>
        <w:ind w:firstLine="567"/>
        <w:jc w:val="both"/>
        <w:rPr>
          <w:sz w:val="24"/>
          <w:szCs w:val="24"/>
        </w:rPr>
      </w:pPr>
    </w:p>
    <w:p w:rsidR="00F76750" w:rsidRPr="006A3E0C" w:rsidRDefault="00F76750" w:rsidP="006A3E0C">
      <w:pPr>
        <w:ind w:firstLine="567"/>
        <w:jc w:val="both"/>
        <w:rPr>
          <w:sz w:val="24"/>
          <w:szCs w:val="24"/>
        </w:rPr>
      </w:pPr>
      <w:r w:rsidRPr="006A3E0C">
        <w:rPr>
          <w:sz w:val="24"/>
          <w:szCs w:val="24"/>
        </w:rPr>
        <w:t>Art. 4º. Este Decreto entra em vigor na data de sua publicação.</w:t>
      </w:r>
    </w:p>
    <w:p w:rsidR="009C5C10" w:rsidRPr="006A3E0C" w:rsidRDefault="00F76750" w:rsidP="006A3E0C">
      <w:pPr>
        <w:ind w:firstLine="567"/>
        <w:jc w:val="both"/>
        <w:rPr>
          <w:sz w:val="24"/>
          <w:szCs w:val="24"/>
        </w:rPr>
      </w:pPr>
      <w:r w:rsidRPr="006A3E0C">
        <w:rPr>
          <w:sz w:val="24"/>
          <w:szCs w:val="24"/>
        </w:rPr>
        <w:t xml:space="preserve"> </w:t>
      </w:r>
    </w:p>
    <w:p w:rsidR="00140BB3" w:rsidRPr="006A3E0C" w:rsidRDefault="00140BB3" w:rsidP="006A3E0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A3E0C">
        <w:rPr>
          <w:rFonts w:ascii="Times New Roman" w:hAnsi="Times New Roman"/>
          <w:sz w:val="24"/>
          <w:szCs w:val="24"/>
        </w:rPr>
        <w:t>Palácio do Governo do Estado de Rondônia, em</w:t>
      </w:r>
      <w:r w:rsidR="00DC7534">
        <w:rPr>
          <w:rFonts w:ascii="Times New Roman" w:hAnsi="Times New Roman"/>
          <w:sz w:val="24"/>
          <w:szCs w:val="24"/>
        </w:rPr>
        <w:t xml:space="preserve"> 21 </w:t>
      </w:r>
      <w:r w:rsidRPr="006A3E0C">
        <w:rPr>
          <w:rFonts w:ascii="Times New Roman" w:hAnsi="Times New Roman"/>
          <w:sz w:val="24"/>
          <w:szCs w:val="24"/>
        </w:rPr>
        <w:t xml:space="preserve">de </w:t>
      </w:r>
      <w:r w:rsidR="00736576" w:rsidRPr="006A3E0C">
        <w:rPr>
          <w:rFonts w:ascii="Times New Roman" w:hAnsi="Times New Roman"/>
          <w:sz w:val="24"/>
          <w:szCs w:val="24"/>
        </w:rPr>
        <w:t xml:space="preserve">março </w:t>
      </w:r>
      <w:r w:rsidRPr="006A3E0C">
        <w:rPr>
          <w:rFonts w:ascii="Times New Roman" w:hAnsi="Times New Roman"/>
          <w:sz w:val="24"/>
          <w:szCs w:val="24"/>
        </w:rPr>
        <w:t>de 201</w:t>
      </w:r>
      <w:r w:rsidR="00872B04" w:rsidRPr="006A3E0C">
        <w:rPr>
          <w:rFonts w:ascii="Times New Roman" w:hAnsi="Times New Roman"/>
          <w:sz w:val="24"/>
          <w:szCs w:val="24"/>
        </w:rPr>
        <w:t>6</w:t>
      </w:r>
      <w:r w:rsidRPr="006A3E0C">
        <w:rPr>
          <w:rFonts w:ascii="Times New Roman" w:hAnsi="Times New Roman"/>
          <w:sz w:val="24"/>
          <w:szCs w:val="24"/>
        </w:rPr>
        <w:t>, 12</w:t>
      </w:r>
      <w:r w:rsidR="00872B04" w:rsidRPr="006A3E0C">
        <w:rPr>
          <w:rFonts w:ascii="Times New Roman" w:hAnsi="Times New Roman"/>
          <w:sz w:val="24"/>
          <w:szCs w:val="24"/>
        </w:rPr>
        <w:t>8</w:t>
      </w:r>
      <w:r w:rsidR="009B061A" w:rsidRPr="006A3E0C">
        <w:rPr>
          <w:rFonts w:ascii="Times New Roman" w:hAnsi="Times New Roman"/>
          <w:sz w:val="24"/>
          <w:szCs w:val="24"/>
        </w:rPr>
        <w:t>º da República.</w:t>
      </w:r>
    </w:p>
    <w:p w:rsidR="007E04A0" w:rsidRDefault="007E04A0" w:rsidP="006A3E0C">
      <w:pPr>
        <w:pStyle w:val="WW-Recuodecorpodetexto2"/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  <w:bookmarkStart w:id="0" w:name="_GoBack"/>
      <w:bookmarkEnd w:id="0"/>
    </w:p>
    <w:p w:rsidR="00AC03E0" w:rsidRPr="006A3E0C" w:rsidRDefault="00AC03E0" w:rsidP="006A3E0C">
      <w:pPr>
        <w:pStyle w:val="WW-Recuodecorpodetexto2"/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6A3E0C" w:rsidRDefault="00045F8B" w:rsidP="006A3E0C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A3E0C">
        <w:rPr>
          <w:b/>
          <w:sz w:val="24"/>
          <w:szCs w:val="24"/>
        </w:rPr>
        <w:t>CONFÚCIO AIRES MOURA</w:t>
      </w:r>
    </w:p>
    <w:p w:rsidR="006206FE" w:rsidRPr="006A3E0C" w:rsidRDefault="00045F8B" w:rsidP="006A3E0C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A3E0C">
        <w:rPr>
          <w:sz w:val="24"/>
          <w:szCs w:val="24"/>
        </w:rPr>
        <w:t>Governador</w:t>
      </w:r>
    </w:p>
    <w:sectPr w:rsidR="006206FE" w:rsidRPr="006A3E0C" w:rsidSect="00F8285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CC" w:rsidRDefault="00BE35CC" w:rsidP="0084748C">
      <w:r>
        <w:separator/>
      </w:r>
    </w:p>
  </w:endnote>
  <w:endnote w:type="continuationSeparator" w:id="0">
    <w:p w:rsidR="00BE35CC" w:rsidRDefault="00BE35CC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CC" w:rsidRDefault="00BE35CC" w:rsidP="0084748C">
      <w:r>
        <w:separator/>
      </w:r>
    </w:p>
  </w:footnote>
  <w:footnote w:type="continuationSeparator" w:id="0">
    <w:p w:rsidR="00BE35CC" w:rsidRDefault="00BE35CC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9A" w:rsidRDefault="00944A9A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8pt;height:78.05pt" o:ole="" fillcolor="window">
          <v:imagedata r:id="rId1" o:title=""/>
        </v:shape>
        <o:OLEObject Type="Embed" ProgID="Word.Picture.8" ShapeID="_x0000_i1025" DrawAspect="Content" ObjectID="_1520065075" r:id="rId2"/>
      </w:object>
    </w:r>
  </w:p>
  <w:p w:rsidR="00944A9A" w:rsidRPr="00D07DF2" w:rsidRDefault="00944A9A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944A9A" w:rsidRPr="00D07DF2" w:rsidRDefault="00944A9A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944A9A" w:rsidRDefault="00944A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59F0"/>
    <w:rsid w:val="00045F8B"/>
    <w:rsid w:val="0009047B"/>
    <w:rsid w:val="000939CC"/>
    <w:rsid w:val="00094C94"/>
    <w:rsid w:val="000B5E90"/>
    <w:rsid w:val="000B6E8D"/>
    <w:rsid w:val="000C06B0"/>
    <w:rsid w:val="000E5EBA"/>
    <w:rsid w:val="00123B24"/>
    <w:rsid w:val="00123E98"/>
    <w:rsid w:val="00127661"/>
    <w:rsid w:val="00140BB3"/>
    <w:rsid w:val="00147317"/>
    <w:rsid w:val="00147F34"/>
    <w:rsid w:val="00155416"/>
    <w:rsid w:val="00181EB7"/>
    <w:rsid w:val="001A639A"/>
    <w:rsid w:val="001B6914"/>
    <w:rsid w:val="001E03CD"/>
    <w:rsid w:val="001E05AA"/>
    <w:rsid w:val="001E2B61"/>
    <w:rsid w:val="00204045"/>
    <w:rsid w:val="002B1553"/>
    <w:rsid w:val="002E001D"/>
    <w:rsid w:val="002F3BA7"/>
    <w:rsid w:val="00306472"/>
    <w:rsid w:val="00320EB3"/>
    <w:rsid w:val="00321721"/>
    <w:rsid w:val="00334B69"/>
    <w:rsid w:val="0033555F"/>
    <w:rsid w:val="003739F4"/>
    <w:rsid w:val="0038386C"/>
    <w:rsid w:val="003E2A9A"/>
    <w:rsid w:val="003F129C"/>
    <w:rsid w:val="00424196"/>
    <w:rsid w:val="00425968"/>
    <w:rsid w:val="004341AA"/>
    <w:rsid w:val="0044453E"/>
    <w:rsid w:val="00454F53"/>
    <w:rsid w:val="00455507"/>
    <w:rsid w:val="00455E86"/>
    <w:rsid w:val="004959B7"/>
    <w:rsid w:val="004C4763"/>
    <w:rsid w:val="004D1546"/>
    <w:rsid w:val="004E5CFE"/>
    <w:rsid w:val="00506DF4"/>
    <w:rsid w:val="00507E3C"/>
    <w:rsid w:val="00515E6A"/>
    <w:rsid w:val="005206BD"/>
    <w:rsid w:val="005679D0"/>
    <w:rsid w:val="00574619"/>
    <w:rsid w:val="005A4383"/>
    <w:rsid w:val="005B3A7B"/>
    <w:rsid w:val="005C18BB"/>
    <w:rsid w:val="005D6D96"/>
    <w:rsid w:val="005E3C14"/>
    <w:rsid w:val="005E7EC7"/>
    <w:rsid w:val="005F3644"/>
    <w:rsid w:val="006206FE"/>
    <w:rsid w:val="00636619"/>
    <w:rsid w:val="00657A38"/>
    <w:rsid w:val="00664D7F"/>
    <w:rsid w:val="00683220"/>
    <w:rsid w:val="006920ED"/>
    <w:rsid w:val="006957B0"/>
    <w:rsid w:val="006A3E0C"/>
    <w:rsid w:val="006B3458"/>
    <w:rsid w:val="006E164E"/>
    <w:rsid w:val="006E5B40"/>
    <w:rsid w:val="006E78C8"/>
    <w:rsid w:val="00710895"/>
    <w:rsid w:val="00724EAD"/>
    <w:rsid w:val="00736576"/>
    <w:rsid w:val="00742099"/>
    <w:rsid w:val="007606E8"/>
    <w:rsid w:val="00765E10"/>
    <w:rsid w:val="00774532"/>
    <w:rsid w:val="00793758"/>
    <w:rsid w:val="007A2E92"/>
    <w:rsid w:val="007A5D53"/>
    <w:rsid w:val="007C4A3C"/>
    <w:rsid w:val="007C66AA"/>
    <w:rsid w:val="007E04A0"/>
    <w:rsid w:val="007F2083"/>
    <w:rsid w:val="00831DC0"/>
    <w:rsid w:val="0083486E"/>
    <w:rsid w:val="008451EA"/>
    <w:rsid w:val="0084748C"/>
    <w:rsid w:val="00872B04"/>
    <w:rsid w:val="00883AE0"/>
    <w:rsid w:val="008C7062"/>
    <w:rsid w:val="008C7285"/>
    <w:rsid w:val="008D1CF1"/>
    <w:rsid w:val="008D1E81"/>
    <w:rsid w:val="008E4833"/>
    <w:rsid w:val="008F2241"/>
    <w:rsid w:val="00902D10"/>
    <w:rsid w:val="00932A26"/>
    <w:rsid w:val="0093432E"/>
    <w:rsid w:val="0093439C"/>
    <w:rsid w:val="00941B7E"/>
    <w:rsid w:val="00944A9A"/>
    <w:rsid w:val="00952654"/>
    <w:rsid w:val="009867E7"/>
    <w:rsid w:val="009B061A"/>
    <w:rsid w:val="009B3AB4"/>
    <w:rsid w:val="009C5C10"/>
    <w:rsid w:val="009D6D6C"/>
    <w:rsid w:val="009E36E1"/>
    <w:rsid w:val="00A141DA"/>
    <w:rsid w:val="00A161D5"/>
    <w:rsid w:val="00A30627"/>
    <w:rsid w:val="00A36F49"/>
    <w:rsid w:val="00A8558F"/>
    <w:rsid w:val="00A913A2"/>
    <w:rsid w:val="00AB4024"/>
    <w:rsid w:val="00AC03E0"/>
    <w:rsid w:val="00AE11A3"/>
    <w:rsid w:val="00B21FFA"/>
    <w:rsid w:val="00B50DF5"/>
    <w:rsid w:val="00BB05FC"/>
    <w:rsid w:val="00BD006F"/>
    <w:rsid w:val="00BE35CC"/>
    <w:rsid w:val="00C16CE5"/>
    <w:rsid w:val="00C27148"/>
    <w:rsid w:val="00C30C0A"/>
    <w:rsid w:val="00C34FF6"/>
    <w:rsid w:val="00C35749"/>
    <w:rsid w:val="00C36590"/>
    <w:rsid w:val="00C37946"/>
    <w:rsid w:val="00C70DA9"/>
    <w:rsid w:val="00C70E91"/>
    <w:rsid w:val="00C7439F"/>
    <w:rsid w:val="00C86766"/>
    <w:rsid w:val="00CB2DAA"/>
    <w:rsid w:val="00CC7138"/>
    <w:rsid w:val="00CC7EAD"/>
    <w:rsid w:val="00CD058E"/>
    <w:rsid w:val="00CE216F"/>
    <w:rsid w:val="00CF64AA"/>
    <w:rsid w:val="00D142DF"/>
    <w:rsid w:val="00D44131"/>
    <w:rsid w:val="00D540A1"/>
    <w:rsid w:val="00D621A0"/>
    <w:rsid w:val="00D94969"/>
    <w:rsid w:val="00DA23CA"/>
    <w:rsid w:val="00DB6AEC"/>
    <w:rsid w:val="00DC7534"/>
    <w:rsid w:val="00DF44A2"/>
    <w:rsid w:val="00E02ABA"/>
    <w:rsid w:val="00E06683"/>
    <w:rsid w:val="00E21995"/>
    <w:rsid w:val="00E81C2A"/>
    <w:rsid w:val="00E93F54"/>
    <w:rsid w:val="00EA31E9"/>
    <w:rsid w:val="00EB57BF"/>
    <w:rsid w:val="00EC2213"/>
    <w:rsid w:val="00ED558B"/>
    <w:rsid w:val="00F430BF"/>
    <w:rsid w:val="00F5102E"/>
    <w:rsid w:val="00F52030"/>
    <w:rsid w:val="00F72E35"/>
    <w:rsid w:val="00F76750"/>
    <w:rsid w:val="00F82850"/>
    <w:rsid w:val="00F85F0C"/>
    <w:rsid w:val="00F962EA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64E33-97AC-4BD2-8E6E-66DD12D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F724-AF75-460D-9633-6F209B94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WUALEN</cp:lastModifiedBy>
  <cp:revision>7</cp:revision>
  <cp:lastPrinted>2016-03-16T16:49:00Z</cp:lastPrinted>
  <dcterms:created xsi:type="dcterms:W3CDTF">2016-03-17T11:44:00Z</dcterms:created>
  <dcterms:modified xsi:type="dcterms:W3CDTF">2016-03-21T15:31:00Z</dcterms:modified>
</cp:coreProperties>
</file>