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EE7113">
      <w:pPr>
        <w:tabs>
          <w:tab w:val="left" w:pos="2977"/>
        </w:tabs>
        <w:jc w:val="center"/>
      </w:pPr>
      <w:r w:rsidRPr="008B45C6">
        <w:t>DECRETO N.</w:t>
      </w:r>
      <w:r w:rsidR="00327B44">
        <w:t xml:space="preserve"> 20.003</w:t>
      </w:r>
      <w:r w:rsidR="0064407E" w:rsidRPr="008B45C6">
        <w:t>,</w:t>
      </w:r>
      <w:r w:rsidR="00F537B6" w:rsidRPr="008B45C6">
        <w:t xml:space="preserve"> DE</w:t>
      </w:r>
      <w:r w:rsidR="00327B44">
        <w:t xml:space="preserve"> </w:t>
      </w:r>
      <w:proofErr w:type="gramStart"/>
      <w:r w:rsidR="00327B44">
        <w:t>4</w:t>
      </w:r>
      <w:proofErr w:type="gramEnd"/>
      <w:r w:rsidR="00327B44">
        <w:t xml:space="preserve"> </w:t>
      </w:r>
      <w:r w:rsidR="002E6389" w:rsidRPr="008B45C6">
        <w:t xml:space="preserve">DE </w:t>
      </w:r>
      <w:r w:rsidR="00400533">
        <w:t>AGOSTO</w:t>
      </w:r>
      <w:r w:rsidR="008648D8">
        <w:t xml:space="preserve"> DE</w:t>
      </w:r>
      <w:r w:rsidR="003827E0">
        <w:t xml:space="preserve"> </w:t>
      </w:r>
      <w:r w:rsidR="002E6389" w:rsidRPr="008B45C6">
        <w:t>201</w:t>
      </w:r>
      <w:r w:rsidR="00C812DB">
        <w:t>5</w:t>
      </w:r>
      <w:r w:rsidR="0062097F" w:rsidRPr="008B45C6">
        <w:t>.</w:t>
      </w:r>
    </w:p>
    <w:p w:rsidR="0020175C" w:rsidRDefault="0020175C" w:rsidP="00EE7113">
      <w:pPr>
        <w:tabs>
          <w:tab w:val="left" w:pos="2977"/>
        </w:tabs>
        <w:jc w:val="center"/>
      </w:pPr>
    </w:p>
    <w:p w:rsidR="003A058C" w:rsidRDefault="00F47589" w:rsidP="0020175C">
      <w:pPr>
        <w:shd w:val="clear" w:color="auto" w:fill="FFFFFF"/>
        <w:ind w:left="5141"/>
        <w:jc w:val="both"/>
        <w:rPr>
          <w:color w:val="000000"/>
        </w:rPr>
      </w:pPr>
      <w:r w:rsidRPr="00F47589">
        <w:rPr>
          <w:color w:val="000000"/>
        </w:rPr>
        <w:t>Altera e acrescenta dispositivos ao Decreto n. 12.988, de 13 de julho de 2007</w:t>
      </w:r>
      <w:r w:rsidR="003A058C">
        <w:rPr>
          <w:color w:val="000000"/>
        </w:rPr>
        <w:t>.</w:t>
      </w:r>
    </w:p>
    <w:p w:rsidR="0020175C" w:rsidRDefault="0020175C" w:rsidP="0020175C">
      <w:pPr>
        <w:shd w:val="clear" w:color="auto" w:fill="FFFFFF"/>
        <w:ind w:left="5141"/>
        <w:jc w:val="both"/>
        <w:rPr>
          <w:color w:val="000000"/>
        </w:rPr>
      </w:pPr>
    </w:p>
    <w:p w:rsidR="003A058C" w:rsidRDefault="003A058C" w:rsidP="00837A60">
      <w:pPr>
        <w:shd w:val="clear" w:color="auto" w:fill="FFFFFF"/>
        <w:ind w:firstLine="547"/>
        <w:jc w:val="both"/>
        <w:rPr>
          <w:color w:val="000000"/>
        </w:rPr>
      </w:pPr>
      <w:r>
        <w:rPr>
          <w:color w:val="000000"/>
        </w:rPr>
        <w:t xml:space="preserve">O GOVERNADOR DO ESTADO DE RONDÔNIA, no uso das atribuições que lhe confere o artigo 65, inciso </w:t>
      </w:r>
      <w:r w:rsidRPr="004F2F6C">
        <w:rPr>
          <w:color w:val="000000"/>
        </w:rPr>
        <w:t xml:space="preserve">V, </w:t>
      </w:r>
      <w:r>
        <w:rPr>
          <w:color w:val="000000"/>
        </w:rPr>
        <w:t xml:space="preserve">da Constituição Estadual, </w:t>
      </w:r>
    </w:p>
    <w:p w:rsidR="003A058C" w:rsidRDefault="003A058C" w:rsidP="003A058C">
      <w:pPr>
        <w:shd w:val="clear" w:color="auto" w:fill="FFFFFF"/>
        <w:ind w:firstLine="540"/>
      </w:pPr>
      <w:bookmarkStart w:id="0" w:name="_GoBack"/>
      <w:bookmarkEnd w:id="0"/>
    </w:p>
    <w:p w:rsidR="00C048BA" w:rsidRDefault="00C048BA" w:rsidP="00F47589">
      <w:pPr>
        <w:ind w:firstLine="547"/>
        <w:jc w:val="both"/>
        <w:rPr>
          <w:spacing w:val="30"/>
        </w:rPr>
      </w:pPr>
      <w:r>
        <w:rPr>
          <w:spacing w:val="30"/>
          <w:u w:val="single"/>
        </w:rPr>
        <w:t>D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C</w:t>
      </w:r>
      <w:r>
        <w:rPr>
          <w:spacing w:val="30"/>
        </w:rPr>
        <w:t xml:space="preserve"> </w:t>
      </w:r>
      <w:r>
        <w:rPr>
          <w:spacing w:val="30"/>
          <w:u w:val="single"/>
        </w:rPr>
        <w:t>R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T</w:t>
      </w:r>
      <w:r>
        <w:rPr>
          <w:spacing w:val="30"/>
        </w:rPr>
        <w:t xml:space="preserve"> </w:t>
      </w:r>
      <w:r>
        <w:rPr>
          <w:spacing w:val="30"/>
          <w:u w:val="single"/>
        </w:rPr>
        <w:t>A</w:t>
      </w:r>
      <w:r>
        <w:rPr>
          <w:spacing w:val="30"/>
        </w:rPr>
        <w:t xml:space="preserve">: </w:t>
      </w:r>
    </w:p>
    <w:p w:rsidR="003A058C" w:rsidRDefault="003A058C" w:rsidP="00F47589">
      <w:pPr>
        <w:shd w:val="clear" w:color="auto" w:fill="FFFFFF"/>
        <w:ind w:left="540"/>
      </w:pPr>
    </w:p>
    <w:p w:rsidR="00F47589" w:rsidRDefault="003A058C" w:rsidP="00F47589">
      <w:pPr>
        <w:tabs>
          <w:tab w:val="left" w:pos="10206"/>
        </w:tabs>
        <w:overflowPunct w:val="0"/>
        <w:autoSpaceDE w:val="0"/>
        <w:ind w:firstLine="567"/>
        <w:jc w:val="both"/>
        <w:textAlignment w:val="baseline"/>
        <w:rPr>
          <w:color w:val="00000A"/>
        </w:rPr>
      </w:pPr>
      <w:r>
        <w:rPr>
          <w:color w:val="000000"/>
        </w:rPr>
        <w:t xml:space="preserve">Art. </w:t>
      </w:r>
      <w:r w:rsidR="0020175C">
        <w:rPr>
          <w:color w:val="000000"/>
        </w:rPr>
        <w:t>1</w:t>
      </w:r>
      <w:r w:rsidRPr="004F2F6C">
        <w:rPr>
          <w:color w:val="000000"/>
          <w:vertAlign w:val="superscript"/>
        </w:rPr>
        <w:t>o</w:t>
      </w:r>
      <w:r w:rsidRPr="004F2F6C">
        <w:rPr>
          <w:color w:val="000000"/>
        </w:rPr>
        <w:t xml:space="preserve">. </w:t>
      </w:r>
      <w:r w:rsidR="00F47589">
        <w:rPr>
          <w:color w:val="000000"/>
          <w:shd w:val="clear" w:color="auto" w:fill="FFFFFF"/>
        </w:rPr>
        <w:t xml:space="preserve">Passa a vigorar, com a seguinte redação, o </w:t>
      </w:r>
      <w:r w:rsidR="00F47589" w:rsidRPr="00821D4C">
        <w:rPr>
          <w:i/>
          <w:color w:val="000000"/>
          <w:shd w:val="clear" w:color="auto" w:fill="FFFFFF"/>
        </w:rPr>
        <w:t>caput</w:t>
      </w:r>
      <w:r w:rsidR="00F47589">
        <w:rPr>
          <w:i/>
          <w:color w:val="000000"/>
          <w:shd w:val="clear" w:color="auto" w:fill="FFFFFF"/>
        </w:rPr>
        <w:t xml:space="preserve"> </w:t>
      </w:r>
      <w:r w:rsidR="00F47589">
        <w:rPr>
          <w:color w:val="000000"/>
          <w:shd w:val="clear" w:color="auto" w:fill="FFFFFF"/>
        </w:rPr>
        <w:t xml:space="preserve">do artigo 13 do </w:t>
      </w:r>
      <w:r w:rsidR="00F47589">
        <w:rPr>
          <w:color w:val="00000A"/>
        </w:rPr>
        <w:t>D</w:t>
      </w:r>
      <w:r w:rsidR="00F47589" w:rsidRPr="00821D4C">
        <w:rPr>
          <w:color w:val="00000A"/>
        </w:rPr>
        <w:t>ecreto n</w:t>
      </w:r>
      <w:r w:rsidR="00F47589">
        <w:rPr>
          <w:color w:val="00000A"/>
        </w:rPr>
        <w:t>.</w:t>
      </w:r>
      <w:r w:rsidR="00F47589" w:rsidRPr="00821D4C">
        <w:rPr>
          <w:color w:val="00000A"/>
        </w:rPr>
        <w:t xml:space="preserve"> 12</w:t>
      </w:r>
      <w:r w:rsidR="00F47589">
        <w:rPr>
          <w:color w:val="00000A"/>
        </w:rPr>
        <w:t>.</w:t>
      </w:r>
      <w:r w:rsidR="00F47589" w:rsidRPr="00821D4C">
        <w:rPr>
          <w:color w:val="00000A"/>
        </w:rPr>
        <w:t>988, de 13 de julho de 2007</w:t>
      </w:r>
      <w:r w:rsidR="00F47589">
        <w:rPr>
          <w:color w:val="00000A"/>
        </w:rPr>
        <w:t>:</w:t>
      </w:r>
    </w:p>
    <w:p w:rsidR="00F47589" w:rsidRDefault="00F47589" w:rsidP="00F47589">
      <w:pPr>
        <w:overflowPunct w:val="0"/>
        <w:autoSpaceDE w:val="0"/>
        <w:ind w:right="707" w:firstLine="567"/>
        <w:jc w:val="both"/>
        <w:textAlignment w:val="baseline"/>
        <w:rPr>
          <w:color w:val="00000A"/>
        </w:rPr>
      </w:pPr>
    </w:p>
    <w:p w:rsidR="00F47589" w:rsidRDefault="00F47589" w:rsidP="00F47589">
      <w:pPr>
        <w:overflowPunct w:val="0"/>
        <w:autoSpaceDE w:val="0"/>
        <w:ind w:right="707" w:firstLine="567"/>
        <w:jc w:val="both"/>
        <w:textAlignment w:val="baseline"/>
        <w:rPr>
          <w:color w:val="00000A"/>
        </w:rPr>
      </w:pPr>
      <w:r>
        <w:rPr>
          <w:color w:val="00000A"/>
        </w:rPr>
        <w:t>“</w:t>
      </w:r>
      <w:r w:rsidRPr="00821D4C">
        <w:rPr>
          <w:color w:val="00000A"/>
        </w:rPr>
        <w:t>Art. 13. O enquadramento será apurado de acordo com a classificação especificada abaixo:</w:t>
      </w:r>
    </w:p>
    <w:p w:rsidR="00F47589" w:rsidRDefault="00F47589" w:rsidP="00F47589">
      <w:pPr>
        <w:overflowPunct w:val="0"/>
        <w:autoSpaceDE w:val="0"/>
        <w:ind w:left="720" w:right="707" w:firstLine="540"/>
        <w:jc w:val="both"/>
        <w:textAlignment w:val="baseline"/>
        <w:rPr>
          <w:color w:val="00000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1497"/>
        <w:gridCol w:w="2780"/>
        <w:gridCol w:w="2035"/>
      </w:tblGrid>
      <w:tr w:rsidR="00F47589" w:rsidRPr="005D5A17" w:rsidTr="00447D43">
        <w:trPr>
          <w:trHeight w:val="626"/>
          <w:jc w:val="center"/>
        </w:trPr>
        <w:tc>
          <w:tcPr>
            <w:tcW w:w="2470" w:type="dxa"/>
            <w:vAlign w:val="center"/>
          </w:tcPr>
          <w:p w:rsidR="00F47589" w:rsidRPr="005D5A17" w:rsidRDefault="00F47589" w:rsidP="00F47589">
            <w:pPr>
              <w:tabs>
                <w:tab w:val="left" w:pos="1761"/>
              </w:tabs>
              <w:ind w:right="707"/>
              <w:jc w:val="center"/>
              <w:rPr>
                <w:b/>
              </w:rPr>
            </w:pPr>
            <w:r w:rsidRPr="005D5A17">
              <w:rPr>
                <w:b/>
              </w:rPr>
              <w:t>PONTUAÇÃO</w:t>
            </w:r>
          </w:p>
        </w:tc>
        <w:tc>
          <w:tcPr>
            <w:tcW w:w="1497" w:type="dxa"/>
            <w:vAlign w:val="center"/>
          </w:tcPr>
          <w:p w:rsidR="00F47589" w:rsidRPr="005D5A17" w:rsidRDefault="00F47589" w:rsidP="00F47589">
            <w:pPr>
              <w:ind w:left="147"/>
              <w:jc w:val="center"/>
              <w:rPr>
                <w:b/>
              </w:rPr>
            </w:pPr>
            <w:r w:rsidRPr="005D5A17">
              <w:rPr>
                <w:b/>
              </w:rPr>
              <w:t>FAIXA</w:t>
            </w:r>
          </w:p>
        </w:tc>
        <w:tc>
          <w:tcPr>
            <w:tcW w:w="2780" w:type="dxa"/>
          </w:tcPr>
          <w:p w:rsidR="00F47589" w:rsidRPr="005D5A17" w:rsidRDefault="00F47589" w:rsidP="00F47589">
            <w:pPr>
              <w:ind w:right="-164" w:firstLine="6"/>
              <w:jc w:val="center"/>
              <w:rPr>
                <w:b/>
              </w:rPr>
            </w:pPr>
            <w:r w:rsidRPr="005D5A17">
              <w:rPr>
                <w:b/>
              </w:rPr>
              <w:t>NÍVEL DE CRÉDITO</w:t>
            </w:r>
          </w:p>
          <w:p w:rsidR="00F47589" w:rsidRPr="005D5A17" w:rsidRDefault="00F47589" w:rsidP="00F47589">
            <w:pPr>
              <w:ind w:right="-164" w:firstLine="6"/>
              <w:jc w:val="center"/>
              <w:rPr>
                <w:b/>
              </w:rPr>
            </w:pPr>
            <w:r w:rsidRPr="005D5A17">
              <w:rPr>
                <w:b/>
              </w:rPr>
              <w:t>PRESUMIDO DO ICMS</w:t>
            </w:r>
          </w:p>
        </w:tc>
        <w:tc>
          <w:tcPr>
            <w:tcW w:w="2035" w:type="dxa"/>
          </w:tcPr>
          <w:p w:rsidR="00F47589" w:rsidRPr="005D5A17" w:rsidRDefault="00F47589" w:rsidP="00F47589">
            <w:pPr>
              <w:tabs>
                <w:tab w:val="left" w:pos="1819"/>
              </w:tabs>
              <w:ind w:right="-113"/>
              <w:jc w:val="center"/>
              <w:rPr>
                <w:b/>
              </w:rPr>
            </w:pPr>
            <w:r w:rsidRPr="005D5A17">
              <w:rPr>
                <w:b/>
              </w:rPr>
              <w:t>PRAZO DE UTILIZAÇÃO DO BENEFÍCIO</w:t>
            </w:r>
          </w:p>
        </w:tc>
      </w:tr>
      <w:tr w:rsidR="00F47589" w:rsidTr="00447D43">
        <w:trPr>
          <w:jc w:val="center"/>
        </w:trPr>
        <w:tc>
          <w:tcPr>
            <w:tcW w:w="2470" w:type="dxa"/>
          </w:tcPr>
          <w:p w:rsidR="00F47589" w:rsidRPr="001C7402" w:rsidRDefault="00F47589" w:rsidP="00F47589">
            <w:pPr>
              <w:ind w:left="159" w:right="707"/>
              <w:jc w:val="center"/>
            </w:pPr>
            <w:r w:rsidRPr="001C7402">
              <w:t>106 em diante</w:t>
            </w:r>
          </w:p>
        </w:tc>
        <w:tc>
          <w:tcPr>
            <w:tcW w:w="1497" w:type="dxa"/>
          </w:tcPr>
          <w:p w:rsidR="00F47589" w:rsidRPr="001C7402" w:rsidRDefault="00F47589" w:rsidP="00F47589">
            <w:pPr>
              <w:ind w:left="51" w:right="22"/>
              <w:jc w:val="center"/>
            </w:pPr>
            <w:r w:rsidRPr="001C7402">
              <w:t>"A"</w:t>
            </w:r>
          </w:p>
        </w:tc>
        <w:tc>
          <w:tcPr>
            <w:tcW w:w="2780" w:type="dxa"/>
          </w:tcPr>
          <w:p w:rsidR="00F47589" w:rsidRPr="001C7402" w:rsidRDefault="00F47589" w:rsidP="00F47589">
            <w:pPr>
              <w:ind w:left="3" w:right="-163" w:hanging="9"/>
              <w:jc w:val="center"/>
            </w:pPr>
            <w:r w:rsidRPr="001C7402">
              <w:t>85%</w:t>
            </w:r>
          </w:p>
        </w:tc>
        <w:tc>
          <w:tcPr>
            <w:tcW w:w="2035" w:type="dxa"/>
          </w:tcPr>
          <w:p w:rsidR="00F47589" w:rsidRPr="001C7402" w:rsidRDefault="00F47589" w:rsidP="00F47589">
            <w:pPr>
              <w:tabs>
                <w:tab w:val="left" w:pos="1819"/>
              </w:tabs>
              <w:ind w:right="-113"/>
              <w:jc w:val="center"/>
            </w:pPr>
            <w:r>
              <w:t>Até 180 MESES</w:t>
            </w:r>
          </w:p>
        </w:tc>
      </w:tr>
      <w:tr w:rsidR="00F47589" w:rsidTr="00447D43">
        <w:trPr>
          <w:jc w:val="center"/>
        </w:trPr>
        <w:tc>
          <w:tcPr>
            <w:tcW w:w="2470" w:type="dxa"/>
          </w:tcPr>
          <w:p w:rsidR="00F47589" w:rsidRPr="001C7402" w:rsidRDefault="00F47589" w:rsidP="00F47589">
            <w:pPr>
              <w:ind w:left="159" w:right="707"/>
              <w:jc w:val="center"/>
            </w:pPr>
            <w:r w:rsidRPr="001C7402">
              <w:t>91 a 105</w:t>
            </w:r>
          </w:p>
        </w:tc>
        <w:tc>
          <w:tcPr>
            <w:tcW w:w="1497" w:type="dxa"/>
          </w:tcPr>
          <w:p w:rsidR="00F47589" w:rsidRPr="001C7402" w:rsidRDefault="00F47589" w:rsidP="00F47589">
            <w:pPr>
              <w:ind w:left="51" w:right="22"/>
              <w:jc w:val="center"/>
            </w:pPr>
            <w:r w:rsidRPr="001C7402">
              <w:t>"B"</w:t>
            </w:r>
          </w:p>
        </w:tc>
        <w:tc>
          <w:tcPr>
            <w:tcW w:w="2780" w:type="dxa"/>
          </w:tcPr>
          <w:p w:rsidR="00F47589" w:rsidRPr="001C7402" w:rsidRDefault="00F47589" w:rsidP="00F47589">
            <w:pPr>
              <w:ind w:left="3" w:right="-163" w:hanging="9"/>
              <w:jc w:val="center"/>
            </w:pPr>
            <w:r w:rsidRPr="001C7402">
              <w:t>75%</w:t>
            </w:r>
          </w:p>
        </w:tc>
        <w:tc>
          <w:tcPr>
            <w:tcW w:w="2035" w:type="dxa"/>
          </w:tcPr>
          <w:p w:rsidR="00F47589" w:rsidRPr="001C7402" w:rsidRDefault="00F47589" w:rsidP="00F47589">
            <w:pPr>
              <w:tabs>
                <w:tab w:val="left" w:pos="1819"/>
              </w:tabs>
              <w:ind w:right="-113"/>
              <w:jc w:val="center"/>
            </w:pPr>
            <w:r>
              <w:t>Até 180 MESES</w:t>
            </w:r>
          </w:p>
        </w:tc>
      </w:tr>
      <w:tr w:rsidR="00F47589" w:rsidTr="00447D43">
        <w:trPr>
          <w:jc w:val="center"/>
        </w:trPr>
        <w:tc>
          <w:tcPr>
            <w:tcW w:w="2470" w:type="dxa"/>
          </w:tcPr>
          <w:p w:rsidR="00F47589" w:rsidRPr="001C7402" w:rsidRDefault="00F47589" w:rsidP="00F47589">
            <w:pPr>
              <w:ind w:left="159" w:right="707"/>
              <w:jc w:val="center"/>
            </w:pPr>
            <w:r w:rsidRPr="001C7402">
              <w:t>75 a 90</w:t>
            </w:r>
          </w:p>
        </w:tc>
        <w:tc>
          <w:tcPr>
            <w:tcW w:w="1497" w:type="dxa"/>
          </w:tcPr>
          <w:p w:rsidR="00F47589" w:rsidRPr="001C7402" w:rsidRDefault="00F47589" w:rsidP="00F47589">
            <w:pPr>
              <w:ind w:left="51" w:right="22"/>
              <w:jc w:val="center"/>
            </w:pPr>
            <w:r w:rsidRPr="001C7402">
              <w:t>"C"</w:t>
            </w:r>
          </w:p>
        </w:tc>
        <w:tc>
          <w:tcPr>
            <w:tcW w:w="2780" w:type="dxa"/>
          </w:tcPr>
          <w:p w:rsidR="00F47589" w:rsidRPr="001C7402" w:rsidRDefault="00F47589" w:rsidP="00F47589">
            <w:pPr>
              <w:ind w:left="3" w:right="-163" w:hanging="9"/>
              <w:jc w:val="center"/>
            </w:pPr>
            <w:r w:rsidRPr="001C7402">
              <w:t>65%</w:t>
            </w:r>
          </w:p>
        </w:tc>
        <w:tc>
          <w:tcPr>
            <w:tcW w:w="2035" w:type="dxa"/>
          </w:tcPr>
          <w:p w:rsidR="00F47589" w:rsidRPr="001C7402" w:rsidRDefault="00F47589" w:rsidP="00F47589">
            <w:pPr>
              <w:tabs>
                <w:tab w:val="left" w:pos="1819"/>
              </w:tabs>
              <w:ind w:right="-113"/>
              <w:jc w:val="center"/>
            </w:pPr>
            <w:r>
              <w:t>Até 180 MESES</w:t>
            </w:r>
          </w:p>
        </w:tc>
      </w:tr>
    </w:tbl>
    <w:p w:rsidR="003A047F" w:rsidRDefault="00F47589" w:rsidP="00F47589">
      <w:pPr>
        <w:overflowPunct w:val="0"/>
        <w:autoSpaceDE w:val="0"/>
        <w:ind w:left="720" w:right="707" w:firstLine="540"/>
        <w:jc w:val="right"/>
        <w:textAlignment w:val="baseline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         “(NR). </w:t>
      </w:r>
    </w:p>
    <w:p w:rsidR="00F47589" w:rsidRDefault="00F47589" w:rsidP="00F47589">
      <w:pPr>
        <w:overflowPunct w:val="0"/>
        <w:autoSpaceDE w:val="0"/>
        <w:ind w:left="720" w:right="707" w:firstLine="540"/>
        <w:jc w:val="right"/>
        <w:textAlignment w:val="baseline"/>
        <w:rPr>
          <w:color w:val="00000A"/>
        </w:rPr>
      </w:pPr>
      <w:r>
        <w:rPr>
          <w:color w:val="00000A"/>
        </w:rPr>
        <w:t xml:space="preserve">   </w:t>
      </w:r>
      <w:r w:rsidRPr="003A047F">
        <w:rPr>
          <w:color w:val="00000A"/>
        </w:rPr>
        <w:t xml:space="preserve"> </w:t>
      </w:r>
      <w:r>
        <w:rPr>
          <w:color w:val="00000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7589" w:rsidRDefault="00F47589" w:rsidP="00F47589">
      <w:pPr>
        <w:overflowPunct w:val="0"/>
        <w:autoSpaceDE w:val="0"/>
        <w:ind w:firstLine="567"/>
        <w:jc w:val="both"/>
        <w:textAlignment w:val="baseline"/>
        <w:rPr>
          <w:color w:val="00000A"/>
        </w:rPr>
      </w:pPr>
      <w:r>
        <w:rPr>
          <w:color w:val="00000A"/>
        </w:rPr>
        <w:t xml:space="preserve">Art. 2º. Ficam acrescidos, com a seguinte redação, os §§ 4º e 5º </w:t>
      </w:r>
      <w:r>
        <w:rPr>
          <w:color w:val="000000"/>
          <w:shd w:val="clear" w:color="auto" w:fill="FFFFFF"/>
        </w:rPr>
        <w:t xml:space="preserve">ao artigo 13 do </w:t>
      </w:r>
      <w:r>
        <w:rPr>
          <w:color w:val="00000A"/>
        </w:rPr>
        <w:t>D</w:t>
      </w:r>
      <w:r w:rsidRPr="00821D4C">
        <w:rPr>
          <w:color w:val="00000A"/>
        </w:rPr>
        <w:t>ecreto n</w:t>
      </w:r>
      <w:r>
        <w:rPr>
          <w:color w:val="00000A"/>
        </w:rPr>
        <w:t>.</w:t>
      </w:r>
      <w:r w:rsidRPr="00821D4C">
        <w:rPr>
          <w:color w:val="00000A"/>
        </w:rPr>
        <w:t xml:space="preserve"> 12</w:t>
      </w:r>
      <w:r>
        <w:rPr>
          <w:color w:val="00000A"/>
        </w:rPr>
        <w:t>.</w:t>
      </w:r>
      <w:r w:rsidRPr="00821D4C">
        <w:rPr>
          <w:color w:val="00000A"/>
        </w:rPr>
        <w:t>988, de 13 de julho de 2007</w:t>
      </w:r>
      <w:r>
        <w:rPr>
          <w:color w:val="00000A"/>
        </w:rPr>
        <w:t>:</w:t>
      </w:r>
    </w:p>
    <w:p w:rsidR="00F47589" w:rsidRDefault="00F47589" w:rsidP="00F47589">
      <w:pPr>
        <w:overflowPunct w:val="0"/>
        <w:autoSpaceDE w:val="0"/>
        <w:ind w:left="720" w:right="707" w:firstLine="540"/>
        <w:jc w:val="both"/>
        <w:textAlignment w:val="baseline"/>
        <w:rPr>
          <w:color w:val="00000A"/>
        </w:rPr>
      </w:pPr>
    </w:p>
    <w:p w:rsidR="00F47589" w:rsidRDefault="00F47589" w:rsidP="00F50CB7">
      <w:pPr>
        <w:overflowPunct w:val="0"/>
        <w:autoSpaceDE w:val="0"/>
        <w:ind w:firstLine="567"/>
        <w:jc w:val="both"/>
        <w:textAlignment w:val="baseline"/>
        <w:rPr>
          <w:color w:val="00000A"/>
        </w:rPr>
      </w:pPr>
      <w:r>
        <w:rPr>
          <w:color w:val="00000A"/>
        </w:rPr>
        <w:t>“Art. 13. ......................................................................................................................</w:t>
      </w:r>
      <w:r w:rsidR="00F50CB7">
        <w:rPr>
          <w:color w:val="00000A"/>
        </w:rPr>
        <w:t>........................</w:t>
      </w:r>
      <w:r>
        <w:rPr>
          <w:color w:val="00000A"/>
        </w:rPr>
        <w:t>...</w:t>
      </w:r>
    </w:p>
    <w:p w:rsidR="00F47589" w:rsidRDefault="00F47589" w:rsidP="00F47589">
      <w:pPr>
        <w:overflowPunct w:val="0"/>
        <w:autoSpaceDE w:val="0"/>
        <w:ind w:left="720" w:right="709" w:firstLine="539"/>
        <w:jc w:val="both"/>
        <w:textAlignment w:val="baseline"/>
        <w:rPr>
          <w:color w:val="00000A"/>
        </w:rPr>
      </w:pPr>
    </w:p>
    <w:p w:rsidR="00F47589" w:rsidRDefault="00F47589" w:rsidP="00F50CB7">
      <w:pPr>
        <w:overflowPunct w:val="0"/>
        <w:autoSpaceDE w:val="0"/>
        <w:ind w:firstLine="567"/>
        <w:jc w:val="both"/>
        <w:textAlignment w:val="baseline"/>
        <w:rPr>
          <w:color w:val="00000A"/>
        </w:rPr>
      </w:pPr>
      <w:r>
        <w:rPr>
          <w:color w:val="00000A"/>
        </w:rPr>
        <w:t>................................................................................................................................</w:t>
      </w:r>
      <w:r w:rsidR="00F50CB7">
        <w:rPr>
          <w:color w:val="00000A"/>
        </w:rPr>
        <w:t>.......................</w:t>
      </w:r>
      <w:r>
        <w:rPr>
          <w:color w:val="00000A"/>
        </w:rPr>
        <w:t>.........</w:t>
      </w:r>
    </w:p>
    <w:p w:rsidR="00F47589" w:rsidRDefault="00F47589" w:rsidP="00F47589">
      <w:pPr>
        <w:overflowPunct w:val="0"/>
        <w:autoSpaceDE w:val="0"/>
        <w:ind w:left="720" w:right="707" w:firstLine="540"/>
        <w:jc w:val="both"/>
        <w:textAlignment w:val="baseline"/>
        <w:rPr>
          <w:color w:val="00000A"/>
        </w:rPr>
      </w:pPr>
    </w:p>
    <w:p w:rsidR="00F47589" w:rsidRDefault="00F47589" w:rsidP="00F50CB7">
      <w:pPr>
        <w:tabs>
          <w:tab w:val="left" w:pos="10206"/>
        </w:tabs>
        <w:overflowPunct w:val="0"/>
        <w:autoSpaceDE w:val="0"/>
        <w:ind w:firstLine="567"/>
        <w:jc w:val="both"/>
        <w:textAlignment w:val="baseline"/>
        <w:rPr>
          <w:color w:val="00000A"/>
        </w:rPr>
      </w:pPr>
      <w:r>
        <w:rPr>
          <w:color w:val="00000A"/>
        </w:rPr>
        <w:t xml:space="preserve">§ 4º. O prazo de utilização do benefício concedido nos termos do </w:t>
      </w:r>
      <w:r w:rsidRPr="00D74D48">
        <w:rPr>
          <w:i/>
          <w:color w:val="00000A"/>
        </w:rPr>
        <w:t>caput</w:t>
      </w:r>
      <w:r w:rsidRPr="00D74D48">
        <w:rPr>
          <w:color w:val="00000A"/>
        </w:rPr>
        <w:t xml:space="preserve"> </w:t>
      </w:r>
      <w:r>
        <w:rPr>
          <w:color w:val="00000A"/>
        </w:rPr>
        <w:t xml:space="preserve">poderá ser prorrogado por </w:t>
      </w:r>
      <w:proofErr w:type="gramStart"/>
      <w:r>
        <w:rPr>
          <w:color w:val="00000A"/>
        </w:rPr>
        <w:t>até</w:t>
      </w:r>
      <w:proofErr w:type="gramEnd"/>
      <w:r>
        <w:rPr>
          <w:color w:val="00000A"/>
        </w:rPr>
        <w:t xml:space="preserve"> igual período, </w:t>
      </w:r>
      <w:r w:rsidRPr="00D74D48">
        <w:rPr>
          <w:color w:val="00000A"/>
        </w:rPr>
        <w:t>com antecedência mínima de 01 (um) ano do seu vencimento,</w:t>
      </w:r>
      <w:r>
        <w:rPr>
          <w:color w:val="00000A"/>
        </w:rPr>
        <w:t xml:space="preserve"> mediante pedido do interessado dirigido ao CONDER, em modelo disponível no Portal do Contribuinte na </w:t>
      </w:r>
      <w:r>
        <w:rPr>
          <w:i/>
          <w:color w:val="00000A"/>
        </w:rPr>
        <w:t>internet</w:t>
      </w:r>
      <w:r>
        <w:rPr>
          <w:color w:val="00000A"/>
        </w:rPr>
        <w:t xml:space="preserve"> .</w:t>
      </w:r>
    </w:p>
    <w:p w:rsidR="00F50CB7" w:rsidRDefault="00F50CB7" w:rsidP="00F50CB7">
      <w:pPr>
        <w:tabs>
          <w:tab w:val="left" w:pos="10206"/>
        </w:tabs>
        <w:overflowPunct w:val="0"/>
        <w:autoSpaceDE w:val="0"/>
        <w:ind w:firstLine="567"/>
        <w:jc w:val="both"/>
        <w:textAlignment w:val="baseline"/>
        <w:rPr>
          <w:color w:val="00000A"/>
        </w:rPr>
      </w:pPr>
    </w:p>
    <w:p w:rsidR="00F47589" w:rsidRDefault="00F47589" w:rsidP="00F50CB7">
      <w:pPr>
        <w:tabs>
          <w:tab w:val="left" w:pos="10206"/>
        </w:tabs>
        <w:overflowPunct w:val="0"/>
        <w:autoSpaceDE w:val="0"/>
        <w:ind w:firstLine="567"/>
        <w:jc w:val="both"/>
        <w:textAlignment w:val="baseline"/>
        <w:rPr>
          <w:color w:val="00000A"/>
        </w:rPr>
      </w:pPr>
      <w:r>
        <w:rPr>
          <w:color w:val="00000A"/>
        </w:rPr>
        <w:t xml:space="preserve">§ 5º. O requerimento de que trata o § 4º será encaminhado às Coordenadorias Consultivas para análise e conclusão quanto ao cumprimento pelo interessado das metas estabelecidas no seu projeto técnico-econômico-financeiro, bem como das normas </w:t>
      </w:r>
      <w:r w:rsidRPr="00D74D48">
        <w:rPr>
          <w:color w:val="00000A"/>
        </w:rPr>
        <w:t>previstas na legislação de incentivo tributário</w:t>
      </w:r>
      <w:r>
        <w:rPr>
          <w:color w:val="00000A"/>
        </w:rPr>
        <w:t>.”</w:t>
      </w:r>
    </w:p>
    <w:p w:rsidR="00F47589" w:rsidRDefault="00F47589" w:rsidP="00F50CB7">
      <w:pPr>
        <w:tabs>
          <w:tab w:val="left" w:pos="10206"/>
        </w:tabs>
        <w:overflowPunct w:val="0"/>
        <w:autoSpaceDE w:val="0"/>
        <w:ind w:left="720" w:firstLine="540"/>
        <w:jc w:val="both"/>
        <w:textAlignment w:val="baseline"/>
        <w:rPr>
          <w:color w:val="00000A"/>
        </w:rPr>
      </w:pPr>
    </w:p>
    <w:p w:rsidR="0020175C" w:rsidRDefault="003A058C" w:rsidP="00F47589">
      <w:pPr>
        <w:shd w:val="clear" w:color="auto" w:fill="FFFFFF"/>
        <w:tabs>
          <w:tab w:val="left" w:pos="7358"/>
        </w:tabs>
        <w:ind w:firstLine="540"/>
        <w:rPr>
          <w:color w:val="000000"/>
        </w:rPr>
      </w:pPr>
      <w:r>
        <w:rPr>
          <w:color w:val="000000"/>
        </w:rPr>
        <w:t xml:space="preserve">Art. </w:t>
      </w:r>
      <w:r w:rsidR="00225909">
        <w:rPr>
          <w:color w:val="000000"/>
        </w:rPr>
        <w:t>3</w:t>
      </w:r>
      <w:r>
        <w:rPr>
          <w:color w:val="000000"/>
          <w:vertAlign w:val="superscript"/>
        </w:rPr>
        <w:t>o</w:t>
      </w:r>
      <w:r>
        <w:rPr>
          <w:color w:val="000000"/>
        </w:rPr>
        <w:t>. Este Decreto entra em vigor na data de sua publicação.</w:t>
      </w:r>
    </w:p>
    <w:p w:rsidR="003A058C" w:rsidRDefault="003A058C" w:rsidP="00F47589">
      <w:pPr>
        <w:shd w:val="clear" w:color="auto" w:fill="FFFFFF"/>
        <w:tabs>
          <w:tab w:val="left" w:pos="7358"/>
        </w:tabs>
        <w:ind w:firstLine="567"/>
        <w:rPr>
          <w:color w:val="000000"/>
          <w:spacing w:val="-3"/>
        </w:rPr>
      </w:pPr>
      <w:r>
        <w:rPr>
          <w:color w:val="000000"/>
        </w:rPr>
        <w:br/>
      </w:r>
      <w:r w:rsidR="001F6516">
        <w:rPr>
          <w:color w:val="000000"/>
          <w:spacing w:val="-1"/>
        </w:rPr>
        <w:t xml:space="preserve">         </w:t>
      </w:r>
      <w:r>
        <w:rPr>
          <w:color w:val="000000"/>
          <w:spacing w:val="-1"/>
        </w:rPr>
        <w:t>Palácio do Governo do Estado de Rondônia, em</w:t>
      </w:r>
      <w:r w:rsidR="00327B44">
        <w:rPr>
          <w:color w:val="000000"/>
          <w:spacing w:val="-1"/>
        </w:rPr>
        <w:t xml:space="preserve"> </w:t>
      </w:r>
      <w:proofErr w:type="gramStart"/>
      <w:r w:rsidR="00327B44">
        <w:rPr>
          <w:color w:val="000000"/>
          <w:spacing w:val="-1"/>
        </w:rPr>
        <w:t>4</w:t>
      </w:r>
      <w:proofErr w:type="gramEnd"/>
      <w:r w:rsidR="00327B44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de</w:t>
      </w:r>
      <w:r w:rsidR="009E5724">
        <w:rPr>
          <w:color w:val="000000"/>
          <w:spacing w:val="-1"/>
        </w:rPr>
        <w:t xml:space="preserve"> </w:t>
      </w:r>
      <w:r w:rsidR="00400533">
        <w:rPr>
          <w:color w:val="000000"/>
          <w:spacing w:val="-1"/>
        </w:rPr>
        <w:t>agosto</w:t>
      </w:r>
      <w:r w:rsidR="009E5724">
        <w:rPr>
          <w:color w:val="000000"/>
          <w:spacing w:val="-1"/>
        </w:rPr>
        <w:t xml:space="preserve"> d</w:t>
      </w:r>
      <w:r>
        <w:rPr>
          <w:color w:val="000000"/>
          <w:spacing w:val="-3"/>
        </w:rPr>
        <w:t>e 2015, 127° da República.</w:t>
      </w:r>
    </w:p>
    <w:p w:rsidR="0020175C" w:rsidRDefault="0020175C" w:rsidP="00F47589">
      <w:pPr>
        <w:shd w:val="clear" w:color="auto" w:fill="FFFFFF"/>
        <w:tabs>
          <w:tab w:val="left" w:pos="7358"/>
        </w:tabs>
        <w:ind w:left="511" w:firstLine="310"/>
        <w:rPr>
          <w:color w:val="000000"/>
          <w:spacing w:val="-3"/>
        </w:rPr>
      </w:pPr>
    </w:p>
    <w:p w:rsidR="0020175C" w:rsidRDefault="0020175C" w:rsidP="00F47589">
      <w:pPr>
        <w:shd w:val="clear" w:color="auto" w:fill="FFFFFF"/>
        <w:tabs>
          <w:tab w:val="left" w:pos="7358"/>
        </w:tabs>
        <w:ind w:left="511" w:firstLine="310"/>
        <w:rPr>
          <w:color w:val="000000"/>
          <w:spacing w:val="-3"/>
        </w:rPr>
      </w:pPr>
    </w:p>
    <w:p w:rsidR="0020175C" w:rsidRDefault="0020175C" w:rsidP="00F47589">
      <w:pPr>
        <w:shd w:val="clear" w:color="auto" w:fill="FFFFFF"/>
        <w:tabs>
          <w:tab w:val="left" w:pos="7358"/>
        </w:tabs>
        <w:ind w:left="511" w:firstLine="310"/>
        <w:rPr>
          <w:color w:val="000000"/>
          <w:spacing w:val="-3"/>
        </w:rPr>
      </w:pPr>
    </w:p>
    <w:p w:rsidR="003A058C" w:rsidRDefault="003A058C" w:rsidP="00F47589">
      <w:pPr>
        <w:shd w:val="clear" w:color="auto" w:fill="FFFFFF"/>
        <w:jc w:val="center"/>
      </w:pPr>
      <w:r>
        <w:rPr>
          <w:b/>
          <w:bCs/>
          <w:color w:val="000000"/>
          <w:spacing w:val="-3"/>
        </w:rPr>
        <w:t>CONF</w:t>
      </w:r>
      <w:r w:rsidR="00F5371E">
        <w:rPr>
          <w:b/>
          <w:bCs/>
          <w:color w:val="000000"/>
          <w:spacing w:val="-3"/>
        </w:rPr>
        <w:t>Ú</w:t>
      </w:r>
      <w:r>
        <w:rPr>
          <w:b/>
          <w:bCs/>
          <w:color w:val="000000"/>
          <w:spacing w:val="-3"/>
        </w:rPr>
        <w:t>CIO AIRES MOURA</w:t>
      </w:r>
    </w:p>
    <w:p w:rsidR="003A058C" w:rsidRDefault="003A058C" w:rsidP="00F47589">
      <w:pPr>
        <w:shd w:val="clear" w:color="auto" w:fill="FFFFFF"/>
        <w:ind w:left="3852" w:firstLine="468"/>
      </w:pPr>
      <w:r>
        <w:rPr>
          <w:color w:val="000000"/>
        </w:rPr>
        <w:t xml:space="preserve">   Governador</w:t>
      </w:r>
    </w:p>
    <w:p w:rsidR="003A058C" w:rsidRDefault="003A058C" w:rsidP="00F47589">
      <w:pPr>
        <w:shd w:val="clear" w:color="auto" w:fill="FFFFFF"/>
        <w:rPr>
          <w:b/>
          <w:bCs/>
          <w:color w:val="000000"/>
          <w:spacing w:val="-3"/>
        </w:rPr>
      </w:pPr>
    </w:p>
    <w:sectPr w:rsidR="003A058C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BE" w:rsidRDefault="001D46BE">
      <w:r>
        <w:separator/>
      </w:r>
    </w:p>
  </w:endnote>
  <w:endnote w:type="continuationSeparator" w:id="0">
    <w:p w:rsidR="001D46BE" w:rsidRDefault="001D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BE" w:rsidRDefault="001D46BE">
      <w:r>
        <w:separator/>
      </w:r>
    </w:p>
  </w:footnote>
  <w:footnote w:type="continuationSeparator" w:id="0">
    <w:p w:rsidR="001D46BE" w:rsidRDefault="001D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00186008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AF05B1"/>
    <w:multiLevelType w:val="hybridMultilevel"/>
    <w:tmpl w:val="EB084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1610A"/>
    <w:multiLevelType w:val="hybridMultilevel"/>
    <w:tmpl w:val="210C1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0185F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4"/>
  </w:num>
  <w:num w:numId="3">
    <w:abstractNumId w:val="9"/>
  </w:num>
  <w:num w:numId="4">
    <w:abstractNumId w:val="2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35"/>
  </w:num>
  <w:num w:numId="10">
    <w:abstractNumId w:val="4"/>
  </w:num>
  <w:num w:numId="11">
    <w:abstractNumId w:val="2"/>
  </w:num>
  <w:num w:numId="12">
    <w:abstractNumId w:val="22"/>
  </w:num>
  <w:num w:numId="13">
    <w:abstractNumId w:val="8"/>
  </w:num>
  <w:num w:numId="14">
    <w:abstractNumId w:val="11"/>
  </w:num>
  <w:num w:numId="15">
    <w:abstractNumId w:val="23"/>
  </w:num>
  <w:num w:numId="16">
    <w:abstractNumId w:val="36"/>
  </w:num>
  <w:num w:numId="17">
    <w:abstractNumId w:val="40"/>
  </w:num>
  <w:num w:numId="18">
    <w:abstractNumId w:val="31"/>
  </w:num>
  <w:num w:numId="19">
    <w:abstractNumId w:val="28"/>
  </w:num>
  <w:num w:numId="20">
    <w:abstractNumId w:val="12"/>
  </w:num>
  <w:num w:numId="21">
    <w:abstractNumId w:val="41"/>
  </w:num>
  <w:num w:numId="22">
    <w:abstractNumId w:val="13"/>
  </w:num>
  <w:num w:numId="23">
    <w:abstractNumId w:val="15"/>
  </w:num>
  <w:num w:numId="24">
    <w:abstractNumId w:val="38"/>
  </w:num>
  <w:num w:numId="25">
    <w:abstractNumId w:val="7"/>
  </w:num>
  <w:num w:numId="26">
    <w:abstractNumId w:val="19"/>
  </w:num>
  <w:num w:numId="27">
    <w:abstractNumId w:val="1"/>
  </w:num>
  <w:num w:numId="28">
    <w:abstractNumId w:val="24"/>
  </w:num>
  <w:num w:numId="29">
    <w:abstractNumId w:val="37"/>
  </w:num>
  <w:num w:numId="30">
    <w:abstractNumId w:val="3"/>
  </w:num>
  <w:num w:numId="31">
    <w:abstractNumId w:val="18"/>
  </w:num>
  <w:num w:numId="32">
    <w:abstractNumId w:val="6"/>
  </w:num>
  <w:num w:numId="33">
    <w:abstractNumId w:val="17"/>
  </w:num>
  <w:num w:numId="34">
    <w:abstractNumId w:val="33"/>
  </w:num>
  <w:num w:numId="35">
    <w:abstractNumId w:val="21"/>
  </w:num>
  <w:num w:numId="36">
    <w:abstractNumId w:val="10"/>
  </w:num>
  <w:num w:numId="37">
    <w:abstractNumId w:val="26"/>
  </w:num>
  <w:num w:numId="38">
    <w:abstractNumId w:val="30"/>
  </w:num>
  <w:num w:numId="39">
    <w:abstractNumId w:val="32"/>
  </w:num>
  <w:num w:numId="40">
    <w:abstractNumId w:val="25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3"/>
    <w:rsid w:val="00002839"/>
    <w:rsid w:val="000029CD"/>
    <w:rsid w:val="00011481"/>
    <w:rsid w:val="00015230"/>
    <w:rsid w:val="00023154"/>
    <w:rsid w:val="000246CC"/>
    <w:rsid w:val="00025D54"/>
    <w:rsid w:val="00031E5F"/>
    <w:rsid w:val="00050034"/>
    <w:rsid w:val="00054C90"/>
    <w:rsid w:val="00057905"/>
    <w:rsid w:val="00057B8A"/>
    <w:rsid w:val="00063352"/>
    <w:rsid w:val="00073D64"/>
    <w:rsid w:val="000756B7"/>
    <w:rsid w:val="00076784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335F2"/>
    <w:rsid w:val="00151BB5"/>
    <w:rsid w:val="00151E0B"/>
    <w:rsid w:val="00153FFF"/>
    <w:rsid w:val="00154B16"/>
    <w:rsid w:val="00156273"/>
    <w:rsid w:val="00156A75"/>
    <w:rsid w:val="00157AC5"/>
    <w:rsid w:val="0016318A"/>
    <w:rsid w:val="00167AB4"/>
    <w:rsid w:val="00171006"/>
    <w:rsid w:val="00171BC4"/>
    <w:rsid w:val="00172BC2"/>
    <w:rsid w:val="00177841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D26D8"/>
    <w:rsid w:val="001D46BE"/>
    <w:rsid w:val="001D4D3C"/>
    <w:rsid w:val="001D780D"/>
    <w:rsid w:val="001E0B09"/>
    <w:rsid w:val="001E5B05"/>
    <w:rsid w:val="001F10A7"/>
    <w:rsid w:val="001F2962"/>
    <w:rsid w:val="001F4418"/>
    <w:rsid w:val="001F6516"/>
    <w:rsid w:val="001F7EA4"/>
    <w:rsid w:val="00200FA1"/>
    <w:rsid w:val="0020175C"/>
    <w:rsid w:val="00207428"/>
    <w:rsid w:val="002114F7"/>
    <w:rsid w:val="00215908"/>
    <w:rsid w:val="00220E23"/>
    <w:rsid w:val="00221BC2"/>
    <w:rsid w:val="00225909"/>
    <w:rsid w:val="002319F8"/>
    <w:rsid w:val="00244CCA"/>
    <w:rsid w:val="00246589"/>
    <w:rsid w:val="00247046"/>
    <w:rsid w:val="00252346"/>
    <w:rsid w:val="00253AD6"/>
    <w:rsid w:val="00253E1C"/>
    <w:rsid w:val="00255906"/>
    <w:rsid w:val="002563EC"/>
    <w:rsid w:val="00260B16"/>
    <w:rsid w:val="00263830"/>
    <w:rsid w:val="00263E1A"/>
    <w:rsid w:val="00264C1D"/>
    <w:rsid w:val="0026563D"/>
    <w:rsid w:val="002660D9"/>
    <w:rsid w:val="00270CEB"/>
    <w:rsid w:val="00273E1E"/>
    <w:rsid w:val="0027486D"/>
    <w:rsid w:val="002752F8"/>
    <w:rsid w:val="00284A3A"/>
    <w:rsid w:val="00286449"/>
    <w:rsid w:val="0028650E"/>
    <w:rsid w:val="002943B8"/>
    <w:rsid w:val="00294BCE"/>
    <w:rsid w:val="002952EC"/>
    <w:rsid w:val="00297694"/>
    <w:rsid w:val="002A14E4"/>
    <w:rsid w:val="002A63E6"/>
    <w:rsid w:val="002B1B24"/>
    <w:rsid w:val="002B2165"/>
    <w:rsid w:val="002B32B3"/>
    <w:rsid w:val="002B359F"/>
    <w:rsid w:val="002B43E5"/>
    <w:rsid w:val="002B6984"/>
    <w:rsid w:val="002B6C2A"/>
    <w:rsid w:val="002C0E6F"/>
    <w:rsid w:val="002C269E"/>
    <w:rsid w:val="002C5656"/>
    <w:rsid w:val="002C58C4"/>
    <w:rsid w:val="002C5E5A"/>
    <w:rsid w:val="002D0DDC"/>
    <w:rsid w:val="002D1AB9"/>
    <w:rsid w:val="002D3C05"/>
    <w:rsid w:val="002D7AD8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27B44"/>
    <w:rsid w:val="003308FC"/>
    <w:rsid w:val="003350E9"/>
    <w:rsid w:val="003402DE"/>
    <w:rsid w:val="00343C0B"/>
    <w:rsid w:val="00345321"/>
    <w:rsid w:val="00357407"/>
    <w:rsid w:val="00366560"/>
    <w:rsid w:val="00375CD7"/>
    <w:rsid w:val="00377043"/>
    <w:rsid w:val="00380E82"/>
    <w:rsid w:val="00381264"/>
    <w:rsid w:val="003827E0"/>
    <w:rsid w:val="00382AA2"/>
    <w:rsid w:val="003832F6"/>
    <w:rsid w:val="003850E1"/>
    <w:rsid w:val="00385388"/>
    <w:rsid w:val="0038600F"/>
    <w:rsid w:val="00386D90"/>
    <w:rsid w:val="00387F5E"/>
    <w:rsid w:val="0039267D"/>
    <w:rsid w:val="00393451"/>
    <w:rsid w:val="003966C4"/>
    <w:rsid w:val="00396A2C"/>
    <w:rsid w:val="003A047F"/>
    <w:rsid w:val="003A058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38B7"/>
    <w:rsid w:val="003E5A55"/>
    <w:rsid w:val="003F620A"/>
    <w:rsid w:val="00400533"/>
    <w:rsid w:val="00423E63"/>
    <w:rsid w:val="004241A7"/>
    <w:rsid w:val="0042458B"/>
    <w:rsid w:val="00427028"/>
    <w:rsid w:val="00427266"/>
    <w:rsid w:val="004303CD"/>
    <w:rsid w:val="00434B6A"/>
    <w:rsid w:val="00441050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7275D"/>
    <w:rsid w:val="00485374"/>
    <w:rsid w:val="004A30E9"/>
    <w:rsid w:val="004A4381"/>
    <w:rsid w:val="004A7262"/>
    <w:rsid w:val="004B3C73"/>
    <w:rsid w:val="004B5FF1"/>
    <w:rsid w:val="004B6D64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D2"/>
    <w:rsid w:val="00531875"/>
    <w:rsid w:val="00532E93"/>
    <w:rsid w:val="00535E73"/>
    <w:rsid w:val="005438CA"/>
    <w:rsid w:val="005448C9"/>
    <w:rsid w:val="00547E37"/>
    <w:rsid w:val="00550BEE"/>
    <w:rsid w:val="005639FB"/>
    <w:rsid w:val="00563E90"/>
    <w:rsid w:val="00567C87"/>
    <w:rsid w:val="00580474"/>
    <w:rsid w:val="00591281"/>
    <w:rsid w:val="005914D2"/>
    <w:rsid w:val="0059673C"/>
    <w:rsid w:val="005A0242"/>
    <w:rsid w:val="005A2449"/>
    <w:rsid w:val="005A5645"/>
    <w:rsid w:val="005B0509"/>
    <w:rsid w:val="005B39BA"/>
    <w:rsid w:val="005B4186"/>
    <w:rsid w:val="005B546A"/>
    <w:rsid w:val="005B55F4"/>
    <w:rsid w:val="005B7362"/>
    <w:rsid w:val="005B75FF"/>
    <w:rsid w:val="005C2585"/>
    <w:rsid w:val="005C58E4"/>
    <w:rsid w:val="005D1A18"/>
    <w:rsid w:val="005D4197"/>
    <w:rsid w:val="005D45D4"/>
    <w:rsid w:val="005D6045"/>
    <w:rsid w:val="005D66CA"/>
    <w:rsid w:val="005F0ABB"/>
    <w:rsid w:val="005F219C"/>
    <w:rsid w:val="005F5788"/>
    <w:rsid w:val="005F7062"/>
    <w:rsid w:val="006005F2"/>
    <w:rsid w:val="00605D4F"/>
    <w:rsid w:val="0060638A"/>
    <w:rsid w:val="00614F6D"/>
    <w:rsid w:val="0062097F"/>
    <w:rsid w:val="00621627"/>
    <w:rsid w:val="0062522B"/>
    <w:rsid w:val="00632129"/>
    <w:rsid w:val="00634B41"/>
    <w:rsid w:val="0063624F"/>
    <w:rsid w:val="00642B27"/>
    <w:rsid w:val="0064407E"/>
    <w:rsid w:val="00647FFA"/>
    <w:rsid w:val="006501D7"/>
    <w:rsid w:val="006533C9"/>
    <w:rsid w:val="00661821"/>
    <w:rsid w:val="00662B3B"/>
    <w:rsid w:val="00665A9B"/>
    <w:rsid w:val="0066725E"/>
    <w:rsid w:val="00674C4E"/>
    <w:rsid w:val="006816CC"/>
    <w:rsid w:val="00684D93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1756"/>
    <w:rsid w:val="006D3AAD"/>
    <w:rsid w:val="006D76E9"/>
    <w:rsid w:val="006D7DA7"/>
    <w:rsid w:val="006E66F2"/>
    <w:rsid w:val="006F6728"/>
    <w:rsid w:val="0071068D"/>
    <w:rsid w:val="00716780"/>
    <w:rsid w:val="00717C4B"/>
    <w:rsid w:val="007204F4"/>
    <w:rsid w:val="007237CA"/>
    <w:rsid w:val="00727674"/>
    <w:rsid w:val="00727DAC"/>
    <w:rsid w:val="0073018C"/>
    <w:rsid w:val="00743D50"/>
    <w:rsid w:val="00745623"/>
    <w:rsid w:val="007466E5"/>
    <w:rsid w:val="00752376"/>
    <w:rsid w:val="00757ADB"/>
    <w:rsid w:val="007612CC"/>
    <w:rsid w:val="0076446F"/>
    <w:rsid w:val="00770979"/>
    <w:rsid w:val="00773735"/>
    <w:rsid w:val="00775D7F"/>
    <w:rsid w:val="00786AD8"/>
    <w:rsid w:val="00790D25"/>
    <w:rsid w:val="007B1E56"/>
    <w:rsid w:val="007B2A37"/>
    <w:rsid w:val="007B2A87"/>
    <w:rsid w:val="007B7840"/>
    <w:rsid w:val="007D563A"/>
    <w:rsid w:val="007D604B"/>
    <w:rsid w:val="007E2DA3"/>
    <w:rsid w:val="007E5C3D"/>
    <w:rsid w:val="007F1142"/>
    <w:rsid w:val="007F3860"/>
    <w:rsid w:val="007F698D"/>
    <w:rsid w:val="007F6FD0"/>
    <w:rsid w:val="007F71B0"/>
    <w:rsid w:val="008003BF"/>
    <w:rsid w:val="0080094B"/>
    <w:rsid w:val="0080589C"/>
    <w:rsid w:val="00805D49"/>
    <w:rsid w:val="008140BB"/>
    <w:rsid w:val="008154C4"/>
    <w:rsid w:val="00816108"/>
    <w:rsid w:val="0082183C"/>
    <w:rsid w:val="00824DD5"/>
    <w:rsid w:val="00836833"/>
    <w:rsid w:val="00837A60"/>
    <w:rsid w:val="00841D66"/>
    <w:rsid w:val="00843BFE"/>
    <w:rsid w:val="00846801"/>
    <w:rsid w:val="00851D7B"/>
    <w:rsid w:val="00853DDF"/>
    <w:rsid w:val="00856E2B"/>
    <w:rsid w:val="00861935"/>
    <w:rsid w:val="008648D8"/>
    <w:rsid w:val="00864E98"/>
    <w:rsid w:val="008706A5"/>
    <w:rsid w:val="00874A1E"/>
    <w:rsid w:val="008778C3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F1C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4679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6F44"/>
    <w:rsid w:val="009A1375"/>
    <w:rsid w:val="009A514F"/>
    <w:rsid w:val="009A587B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54F3"/>
    <w:rsid w:val="009E5724"/>
    <w:rsid w:val="009E7551"/>
    <w:rsid w:val="009F6F31"/>
    <w:rsid w:val="009F77B1"/>
    <w:rsid w:val="00A05F8E"/>
    <w:rsid w:val="00A0783A"/>
    <w:rsid w:val="00A13EDE"/>
    <w:rsid w:val="00A26A67"/>
    <w:rsid w:val="00A272AE"/>
    <w:rsid w:val="00A27902"/>
    <w:rsid w:val="00A34C24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F13AB"/>
    <w:rsid w:val="00AF77DC"/>
    <w:rsid w:val="00B009C6"/>
    <w:rsid w:val="00B024FB"/>
    <w:rsid w:val="00B029FF"/>
    <w:rsid w:val="00B06BD9"/>
    <w:rsid w:val="00B07CDE"/>
    <w:rsid w:val="00B12D41"/>
    <w:rsid w:val="00B141FC"/>
    <w:rsid w:val="00B14CF6"/>
    <w:rsid w:val="00B158D5"/>
    <w:rsid w:val="00B22A86"/>
    <w:rsid w:val="00B2412E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7711"/>
    <w:rsid w:val="00B61E5B"/>
    <w:rsid w:val="00B635B9"/>
    <w:rsid w:val="00B63621"/>
    <w:rsid w:val="00B72D37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48C"/>
    <w:rsid w:val="00BE63FB"/>
    <w:rsid w:val="00BF251F"/>
    <w:rsid w:val="00BF32D7"/>
    <w:rsid w:val="00BF68D7"/>
    <w:rsid w:val="00C048BA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12DB"/>
    <w:rsid w:val="00C83C37"/>
    <w:rsid w:val="00C85252"/>
    <w:rsid w:val="00C913B9"/>
    <w:rsid w:val="00CA1357"/>
    <w:rsid w:val="00CA1899"/>
    <w:rsid w:val="00CA5A68"/>
    <w:rsid w:val="00CB0558"/>
    <w:rsid w:val="00CB1063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0D2F"/>
    <w:rsid w:val="00D03903"/>
    <w:rsid w:val="00D116DF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3FE2"/>
    <w:rsid w:val="00DA7B4D"/>
    <w:rsid w:val="00DB5C04"/>
    <w:rsid w:val="00DC4126"/>
    <w:rsid w:val="00DC44F4"/>
    <w:rsid w:val="00DD12AA"/>
    <w:rsid w:val="00DD1612"/>
    <w:rsid w:val="00DE0760"/>
    <w:rsid w:val="00DE2B20"/>
    <w:rsid w:val="00DE62C3"/>
    <w:rsid w:val="00DF0040"/>
    <w:rsid w:val="00DF38F5"/>
    <w:rsid w:val="00E0667B"/>
    <w:rsid w:val="00E1195C"/>
    <w:rsid w:val="00E1210F"/>
    <w:rsid w:val="00E139A7"/>
    <w:rsid w:val="00E15409"/>
    <w:rsid w:val="00E1593F"/>
    <w:rsid w:val="00E20E71"/>
    <w:rsid w:val="00E24539"/>
    <w:rsid w:val="00E3045C"/>
    <w:rsid w:val="00E30E87"/>
    <w:rsid w:val="00E31FEA"/>
    <w:rsid w:val="00E37593"/>
    <w:rsid w:val="00E4352D"/>
    <w:rsid w:val="00E509DB"/>
    <w:rsid w:val="00E55417"/>
    <w:rsid w:val="00E5599F"/>
    <w:rsid w:val="00E64B00"/>
    <w:rsid w:val="00E65A43"/>
    <w:rsid w:val="00E6723E"/>
    <w:rsid w:val="00E73ED4"/>
    <w:rsid w:val="00E74B1E"/>
    <w:rsid w:val="00E81DE4"/>
    <w:rsid w:val="00E82F55"/>
    <w:rsid w:val="00E84E5C"/>
    <w:rsid w:val="00E909B9"/>
    <w:rsid w:val="00EA117A"/>
    <w:rsid w:val="00EA33A4"/>
    <w:rsid w:val="00EA683A"/>
    <w:rsid w:val="00EA7F7C"/>
    <w:rsid w:val="00EC00EC"/>
    <w:rsid w:val="00EC1846"/>
    <w:rsid w:val="00ED122F"/>
    <w:rsid w:val="00ED2B0B"/>
    <w:rsid w:val="00ED4DB5"/>
    <w:rsid w:val="00EE1855"/>
    <w:rsid w:val="00EE3C39"/>
    <w:rsid w:val="00EE489D"/>
    <w:rsid w:val="00EE5F74"/>
    <w:rsid w:val="00EE7113"/>
    <w:rsid w:val="00EE7404"/>
    <w:rsid w:val="00EE78C5"/>
    <w:rsid w:val="00EE7C4E"/>
    <w:rsid w:val="00EF3B4D"/>
    <w:rsid w:val="00EF446B"/>
    <w:rsid w:val="00F045EF"/>
    <w:rsid w:val="00F11E45"/>
    <w:rsid w:val="00F17981"/>
    <w:rsid w:val="00F26899"/>
    <w:rsid w:val="00F30D33"/>
    <w:rsid w:val="00F33651"/>
    <w:rsid w:val="00F34A29"/>
    <w:rsid w:val="00F40B4E"/>
    <w:rsid w:val="00F416DB"/>
    <w:rsid w:val="00F41F0F"/>
    <w:rsid w:val="00F43C61"/>
    <w:rsid w:val="00F44D93"/>
    <w:rsid w:val="00F47589"/>
    <w:rsid w:val="00F50CB7"/>
    <w:rsid w:val="00F51D9B"/>
    <w:rsid w:val="00F52D5D"/>
    <w:rsid w:val="00F5371E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230"/>
    <w:rsid w:val="00F85F8D"/>
    <w:rsid w:val="00F9086D"/>
    <w:rsid w:val="00FA120A"/>
    <w:rsid w:val="00FA4A56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prorroga&#231;&#227;o\Decreto%20de%20prorroga&#231;&#227;o_SESDEC_RRs_23%20NOV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6AEC-94FF-43BA-856B-E5EB4C82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prorrogação_SESDEC_RRs_23 NOV_2014</Template>
  <TotalTime>14</TotalTime>
  <Pages>1</Pages>
  <Words>276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11</cp:revision>
  <cp:lastPrinted>2015-07-21T14:18:00Z</cp:lastPrinted>
  <dcterms:created xsi:type="dcterms:W3CDTF">2015-07-23T12:01:00Z</dcterms:created>
  <dcterms:modified xsi:type="dcterms:W3CDTF">2015-08-04T13:34:00Z</dcterms:modified>
</cp:coreProperties>
</file>