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1F" w:rsidRDefault="00FF48B4" w:rsidP="00FF48B4">
      <w:pPr>
        <w:spacing w:line="276" w:lineRule="auto"/>
        <w:jc w:val="center"/>
        <w:rPr>
          <w:sz w:val="24"/>
        </w:rPr>
      </w:pPr>
      <w:r>
        <w:rPr>
          <w:sz w:val="24"/>
        </w:rPr>
        <w:t>DECRETO Nº 1728</w:t>
      </w:r>
      <w:r w:rsidR="00770854">
        <w:rPr>
          <w:sz w:val="24"/>
        </w:rPr>
        <w:t xml:space="preserve"> DE </w:t>
      </w:r>
      <w:r w:rsidR="00CE5767">
        <w:rPr>
          <w:sz w:val="24"/>
        </w:rPr>
        <w:t>30</w:t>
      </w:r>
      <w:r w:rsidR="00770854">
        <w:rPr>
          <w:sz w:val="24"/>
        </w:rPr>
        <w:t xml:space="preserve"> DE </w:t>
      </w:r>
      <w:r w:rsidR="00777E15">
        <w:rPr>
          <w:sz w:val="24"/>
        </w:rPr>
        <w:t>NOVEMBRO</w:t>
      </w:r>
      <w:r w:rsidR="00770854">
        <w:rPr>
          <w:sz w:val="24"/>
        </w:rPr>
        <w:t xml:space="preserve"> DE 1983.</w:t>
      </w:r>
    </w:p>
    <w:p w:rsidR="00FF48B4" w:rsidRDefault="00FF48B4" w:rsidP="00FF48B4">
      <w:pPr>
        <w:spacing w:line="276" w:lineRule="auto"/>
        <w:jc w:val="center"/>
        <w:rPr>
          <w:sz w:val="24"/>
        </w:rPr>
      </w:pPr>
    </w:p>
    <w:p w:rsidR="0022587F" w:rsidRDefault="0022587F" w:rsidP="00FF48B4">
      <w:pPr>
        <w:spacing w:line="276" w:lineRule="auto"/>
        <w:ind w:left="5670"/>
        <w:rPr>
          <w:sz w:val="24"/>
        </w:rPr>
      </w:pPr>
    </w:p>
    <w:p w:rsidR="0022587F" w:rsidRDefault="0022587F" w:rsidP="00FF48B4">
      <w:pPr>
        <w:spacing w:line="276" w:lineRule="auto"/>
        <w:ind w:left="5670"/>
        <w:rPr>
          <w:sz w:val="24"/>
        </w:rPr>
      </w:pPr>
    </w:p>
    <w:p w:rsidR="00FF48B4" w:rsidRDefault="00FF48B4" w:rsidP="00FF48B4">
      <w:pPr>
        <w:spacing w:line="276" w:lineRule="auto"/>
        <w:ind w:left="5670"/>
        <w:rPr>
          <w:sz w:val="24"/>
        </w:rPr>
      </w:pPr>
      <w:r>
        <w:rPr>
          <w:sz w:val="24"/>
        </w:rPr>
        <w:t>Dispõe sobre a concessão de férias regulamentares e outras providências.</w:t>
      </w:r>
    </w:p>
    <w:p w:rsidR="00FF48B4" w:rsidRDefault="00FF48B4" w:rsidP="00FF48B4">
      <w:pPr>
        <w:spacing w:line="276" w:lineRule="auto"/>
        <w:rPr>
          <w:sz w:val="24"/>
        </w:rPr>
      </w:pPr>
    </w:p>
    <w:p w:rsidR="00FF48B4" w:rsidRDefault="00FF48B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2587F" w:rsidRDefault="00FF48B4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5D171F" w:rsidRDefault="0022587F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F48B4">
        <w:rPr>
          <w:sz w:val="24"/>
        </w:rPr>
        <w:tab/>
        <w:t>O GOVERNADOR DE RONDÔNIA, no uso de suas atribuições legais.</w:t>
      </w:r>
    </w:p>
    <w:p w:rsidR="00FF48B4" w:rsidRDefault="00FF48B4" w:rsidP="00FF48B4">
      <w:pPr>
        <w:jc w:val="both"/>
        <w:rPr>
          <w:sz w:val="24"/>
        </w:rPr>
      </w:pPr>
    </w:p>
    <w:p w:rsidR="00FF48B4" w:rsidRDefault="00FF48B4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22587F" w:rsidRDefault="0022587F" w:rsidP="00FF48B4">
      <w:pPr>
        <w:jc w:val="both"/>
        <w:rPr>
          <w:sz w:val="24"/>
        </w:rPr>
      </w:pPr>
    </w:p>
    <w:p w:rsidR="00FF48B4" w:rsidRDefault="00FF48B4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 E C R E T A:</w:t>
      </w:r>
    </w:p>
    <w:p w:rsidR="00FF48B4" w:rsidRDefault="00FF48B4" w:rsidP="00FF48B4">
      <w:pPr>
        <w:jc w:val="both"/>
        <w:rPr>
          <w:sz w:val="24"/>
        </w:rPr>
      </w:pPr>
    </w:p>
    <w:p w:rsidR="00FF48B4" w:rsidRDefault="00FF48B4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48B4" w:rsidRDefault="00FF48B4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Art. 1º - Este Decreto regulamenta a concessão de férias aos servidores pertencentes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Tabela e Quadro de Pessoal do Estado de Rondônia, assim como aos servidores da União e outros Estados, colocados a disposição deste Governo.</w:t>
      </w:r>
    </w:p>
    <w:p w:rsidR="00FF48B4" w:rsidRDefault="00FF48B4" w:rsidP="00FF48B4">
      <w:pPr>
        <w:jc w:val="both"/>
        <w:rPr>
          <w:sz w:val="24"/>
        </w:rPr>
      </w:pPr>
    </w:p>
    <w:p w:rsidR="00FF48B4" w:rsidRDefault="00FF48B4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2º - As férias dos servidores deste Governo, regidos pela Legislação Trabalhista, deverão ser obrigatoriamente gozadas no decurso de 12 (doze) meses seguintes à data de término do período aquisitivo, sendo expressamente proibida a acumulação de férias.</w:t>
      </w:r>
    </w:p>
    <w:p w:rsidR="00FF48B4" w:rsidRDefault="00FF48B4" w:rsidP="00FF48B4">
      <w:pPr>
        <w:jc w:val="both"/>
        <w:rPr>
          <w:sz w:val="24"/>
        </w:rPr>
      </w:pPr>
    </w:p>
    <w:p w:rsidR="00FF48B4" w:rsidRDefault="00FF48B4" w:rsidP="00FF48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Parágrafo Único – Fica vedada</w:t>
      </w:r>
      <w:r w:rsidR="00C43343">
        <w:rPr>
          <w:sz w:val="24"/>
        </w:rPr>
        <w:t xml:space="preserve"> a interrupção das férias regulamentares exceto nos casos de:</w:t>
      </w:r>
    </w:p>
    <w:p w:rsidR="00C43343" w:rsidRDefault="00C43343" w:rsidP="00FF48B4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69"/>
      </w:tblGrid>
      <w:tr w:rsidR="00C43343" w:rsidTr="00C43343">
        <w:tc>
          <w:tcPr>
            <w:tcW w:w="2376" w:type="dxa"/>
          </w:tcPr>
          <w:p w:rsidR="00C43343" w:rsidRDefault="00C43343" w:rsidP="00C43343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969" w:type="dxa"/>
          </w:tcPr>
          <w:p w:rsidR="00C43343" w:rsidRDefault="00C43343" w:rsidP="00FF48B4">
            <w:pPr>
              <w:jc w:val="both"/>
              <w:rPr>
                <w:sz w:val="24"/>
              </w:rPr>
            </w:pPr>
            <w:r>
              <w:rPr>
                <w:sz w:val="24"/>
              </w:rPr>
              <w:t>Calamidade Pública</w:t>
            </w:r>
          </w:p>
          <w:p w:rsidR="00C43343" w:rsidRDefault="00C43343" w:rsidP="00FF48B4">
            <w:pPr>
              <w:jc w:val="both"/>
              <w:rPr>
                <w:sz w:val="24"/>
              </w:rPr>
            </w:pPr>
          </w:p>
        </w:tc>
      </w:tr>
      <w:tr w:rsidR="00C43343" w:rsidTr="00C43343">
        <w:tc>
          <w:tcPr>
            <w:tcW w:w="2376" w:type="dxa"/>
          </w:tcPr>
          <w:p w:rsidR="00C43343" w:rsidRDefault="00C43343" w:rsidP="00C43343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b)</w:t>
            </w:r>
            <w:proofErr w:type="gramEnd"/>
          </w:p>
        </w:tc>
        <w:tc>
          <w:tcPr>
            <w:tcW w:w="7969" w:type="dxa"/>
          </w:tcPr>
          <w:p w:rsidR="00C43343" w:rsidRDefault="00C43343" w:rsidP="00FF48B4">
            <w:pPr>
              <w:jc w:val="both"/>
              <w:rPr>
                <w:sz w:val="24"/>
              </w:rPr>
            </w:pPr>
            <w:r>
              <w:rPr>
                <w:sz w:val="24"/>
              </w:rPr>
              <w:t>Convocação para o serviço militar</w:t>
            </w:r>
          </w:p>
          <w:p w:rsidR="00C43343" w:rsidRDefault="00C43343" w:rsidP="00FF48B4">
            <w:pPr>
              <w:jc w:val="both"/>
              <w:rPr>
                <w:sz w:val="24"/>
              </w:rPr>
            </w:pPr>
          </w:p>
        </w:tc>
      </w:tr>
      <w:tr w:rsidR="00C43343" w:rsidTr="00C43343">
        <w:tc>
          <w:tcPr>
            <w:tcW w:w="2376" w:type="dxa"/>
          </w:tcPr>
          <w:p w:rsidR="00C43343" w:rsidRDefault="00C43343" w:rsidP="00C43343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c)</w:t>
            </w:r>
            <w:proofErr w:type="gramEnd"/>
          </w:p>
        </w:tc>
        <w:tc>
          <w:tcPr>
            <w:tcW w:w="7969" w:type="dxa"/>
          </w:tcPr>
          <w:p w:rsidR="00C43343" w:rsidRDefault="00C43343" w:rsidP="00FF48B4">
            <w:pPr>
              <w:jc w:val="both"/>
              <w:rPr>
                <w:sz w:val="24"/>
              </w:rPr>
            </w:pPr>
            <w:r>
              <w:rPr>
                <w:sz w:val="24"/>
              </w:rPr>
              <w:t>Convocação para o serviço eleitoral</w:t>
            </w:r>
          </w:p>
          <w:p w:rsidR="00C43343" w:rsidRDefault="00C43343" w:rsidP="00FF48B4">
            <w:pPr>
              <w:jc w:val="both"/>
              <w:rPr>
                <w:sz w:val="24"/>
              </w:rPr>
            </w:pPr>
          </w:p>
        </w:tc>
      </w:tr>
    </w:tbl>
    <w:p w:rsidR="00C43343" w:rsidRDefault="00C43343" w:rsidP="00FF48B4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</w:p>
    <w:p w:rsidR="0022587F" w:rsidRDefault="0022587F" w:rsidP="00AF287E">
      <w:pPr>
        <w:jc w:val="both"/>
        <w:rPr>
          <w:sz w:val="24"/>
        </w:rPr>
      </w:pPr>
      <w:bookmarkStart w:id="0" w:name="_GoBack"/>
      <w:bookmarkEnd w:id="0"/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  <w:t xml:space="preserve">Artigo 3º - </w:t>
      </w:r>
      <w:proofErr w:type="gramStart"/>
      <w:r>
        <w:rPr>
          <w:sz w:val="24"/>
        </w:rPr>
        <w:t>As chefias imediatas caberá</w:t>
      </w:r>
      <w:proofErr w:type="gramEnd"/>
      <w:r>
        <w:rPr>
          <w:sz w:val="24"/>
        </w:rPr>
        <w:t>: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 – Organizar as escalas de férias de seus servidores subordinados, observando os prazos legais;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 – Exercer rigoroso controle do cumprimento da escala de férias;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III – Colocar os servidores que estiverem com férias acumuladas, em imediato gozo das mesmas.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Artigo 4º - As chefias imediatas caberá o pagamento dos acréscimos pecuniários ou multas oriundas da não observação dos dispositivos legais referentes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férias.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Artigo 5º - Os 30 (trinta) dias consecutivos de férias serão concedidos sempre </w:t>
      </w:r>
      <w:proofErr w:type="gramStart"/>
      <w:r>
        <w:rPr>
          <w:sz w:val="24"/>
        </w:rPr>
        <w:t>iniciando-se</w:t>
      </w:r>
      <w:proofErr w:type="gramEnd"/>
      <w:r>
        <w:rPr>
          <w:sz w:val="24"/>
        </w:rPr>
        <w:t xml:space="preserve"> dia 1º (primeiro) de cada mês.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Parágrafo único – Os pagamentos de abono pecuniário e de férias previsto no artigo 145 de consolidação das Leis do trabalho CLT deverão ser efetuados em folha de pagamento do mês que anteceder as férias.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6º - O abono de férias, a que se refere o art. 143, do Decreto-Lei nº 1.535 de 1977, só será concedido ao servidor que requerer o benefício até 15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quinze) dias antes do término do período aquisitivo, ficando o pagando na dependência de recuso orçamentários disponíveis para atender a despesa.</w:t>
      </w:r>
    </w:p>
    <w:p w:rsidR="00C43343" w:rsidRDefault="00C43343" w:rsidP="00AF287E">
      <w:pPr>
        <w:jc w:val="both"/>
        <w:rPr>
          <w:sz w:val="24"/>
        </w:rPr>
      </w:pP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Parágrafo único – Deferido o requerimento, o servidor fica obrigado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trabalhar nos dias concernentes a um terço das férias convertido em abono e perceberá, além da remuneração que lhe seria devida nos dias em que houver trabalho.</w:t>
      </w: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43343" w:rsidRDefault="00C4334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7º - O pagamento antecipado da 1º</w:t>
      </w:r>
      <w:r w:rsidR="008756B0">
        <w:rPr>
          <w:sz w:val="24"/>
        </w:rPr>
        <w:t xml:space="preserve"> parcela do 13º (décimo terceiro) salário, só cabe quando requerido janeiro de cada ano na forma estabelecida </w:t>
      </w:r>
      <w:r w:rsidR="00E81D12">
        <w:rPr>
          <w:sz w:val="24"/>
        </w:rPr>
        <w:t>no artigo 4º ao Decreto nº 57.155 de 03 de novembro de 1965, que regulamentou a lei nº 4.090 de 13 de junho de 1962, que dispõe sobre a gratificação de natal.</w:t>
      </w:r>
    </w:p>
    <w:p w:rsidR="00E81D12" w:rsidRDefault="00E81D12" w:rsidP="00AF287E">
      <w:pPr>
        <w:jc w:val="both"/>
        <w:rPr>
          <w:sz w:val="24"/>
        </w:rPr>
      </w:pPr>
    </w:p>
    <w:p w:rsidR="00E81D12" w:rsidRDefault="00E81D12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Parágrafo único – O pagamento da 1ª parcela do 13º salário a que se refere este artigo, somente poderá ser efetuado à época da concessão das férias regulamentares do servidor, na forma prevista no referido regulamento.</w:t>
      </w:r>
    </w:p>
    <w:p w:rsidR="0022587F" w:rsidRDefault="0022587F" w:rsidP="00AF287E">
      <w:pPr>
        <w:jc w:val="both"/>
        <w:rPr>
          <w:sz w:val="24"/>
        </w:rPr>
      </w:pPr>
    </w:p>
    <w:p w:rsidR="0022587F" w:rsidRDefault="0022587F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8º - A Secretaria de Estado da Administração deverá expedir normas para a execução deste decreto.</w:t>
      </w:r>
    </w:p>
    <w:p w:rsidR="005D171F" w:rsidRDefault="005D171F" w:rsidP="00AF287E">
      <w:pPr>
        <w:jc w:val="both"/>
        <w:rPr>
          <w:sz w:val="24"/>
        </w:rPr>
      </w:pPr>
    </w:p>
    <w:p w:rsidR="00C43343" w:rsidRDefault="00C43343" w:rsidP="0022587F">
      <w:pPr>
        <w:rPr>
          <w:sz w:val="24"/>
        </w:rPr>
      </w:pPr>
    </w:p>
    <w:p w:rsidR="00C43343" w:rsidRDefault="00C43343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9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94" w:rsidRDefault="002F2C94" w:rsidP="007F2BAB">
      <w:r>
        <w:separator/>
      </w:r>
    </w:p>
  </w:endnote>
  <w:endnote w:type="continuationSeparator" w:id="0">
    <w:p w:rsidR="002F2C94" w:rsidRDefault="002F2C94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94" w:rsidRDefault="002F2C94" w:rsidP="007F2BAB">
      <w:r>
        <w:separator/>
      </w:r>
    </w:p>
  </w:footnote>
  <w:footnote w:type="continuationSeparator" w:id="0">
    <w:p w:rsidR="002F2C94" w:rsidRDefault="002F2C94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0524278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30BC"/>
    <w:multiLevelType w:val="hybridMultilevel"/>
    <w:tmpl w:val="C7408F84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5B41BB7"/>
    <w:multiLevelType w:val="hybridMultilevel"/>
    <w:tmpl w:val="32D0D6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C57C7"/>
    <w:multiLevelType w:val="hybridMultilevel"/>
    <w:tmpl w:val="29C039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727C2"/>
    <w:rsid w:val="00183D48"/>
    <w:rsid w:val="001862A1"/>
    <w:rsid w:val="0018771A"/>
    <w:rsid w:val="001B4A54"/>
    <w:rsid w:val="001C1F41"/>
    <w:rsid w:val="001D3049"/>
    <w:rsid w:val="001D786A"/>
    <w:rsid w:val="001F0B23"/>
    <w:rsid w:val="00216CCB"/>
    <w:rsid w:val="00224DA8"/>
    <w:rsid w:val="0022587F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2F2C94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A76CD"/>
    <w:rsid w:val="004D55C4"/>
    <w:rsid w:val="004F156C"/>
    <w:rsid w:val="004F1810"/>
    <w:rsid w:val="005207AC"/>
    <w:rsid w:val="00546A50"/>
    <w:rsid w:val="005568C7"/>
    <w:rsid w:val="00574773"/>
    <w:rsid w:val="00586B3B"/>
    <w:rsid w:val="005B079B"/>
    <w:rsid w:val="005C0D26"/>
    <w:rsid w:val="005D171F"/>
    <w:rsid w:val="005F7083"/>
    <w:rsid w:val="00613780"/>
    <w:rsid w:val="00615C3C"/>
    <w:rsid w:val="00651DED"/>
    <w:rsid w:val="00663FE9"/>
    <w:rsid w:val="00675234"/>
    <w:rsid w:val="006A1D5B"/>
    <w:rsid w:val="006B2D51"/>
    <w:rsid w:val="006D4284"/>
    <w:rsid w:val="006E2295"/>
    <w:rsid w:val="006F2147"/>
    <w:rsid w:val="006F5054"/>
    <w:rsid w:val="00717440"/>
    <w:rsid w:val="00721B49"/>
    <w:rsid w:val="007310AE"/>
    <w:rsid w:val="007443BD"/>
    <w:rsid w:val="00764429"/>
    <w:rsid w:val="00764E8E"/>
    <w:rsid w:val="00770854"/>
    <w:rsid w:val="00777E15"/>
    <w:rsid w:val="007B6B00"/>
    <w:rsid w:val="007C3B07"/>
    <w:rsid w:val="007C4757"/>
    <w:rsid w:val="007E4FF3"/>
    <w:rsid w:val="007F2BAB"/>
    <w:rsid w:val="007F53A8"/>
    <w:rsid w:val="008002E5"/>
    <w:rsid w:val="00811C7A"/>
    <w:rsid w:val="00814711"/>
    <w:rsid w:val="0083234B"/>
    <w:rsid w:val="00837C2F"/>
    <w:rsid w:val="0086726F"/>
    <w:rsid w:val="008756B0"/>
    <w:rsid w:val="008C1644"/>
    <w:rsid w:val="008C191E"/>
    <w:rsid w:val="008D4534"/>
    <w:rsid w:val="008F3244"/>
    <w:rsid w:val="00930DE0"/>
    <w:rsid w:val="009340DB"/>
    <w:rsid w:val="00936B0B"/>
    <w:rsid w:val="009423AF"/>
    <w:rsid w:val="009551E1"/>
    <w:rsid w:val="00973E04"/>
    <w:rsid w:val="0099582B"/>
    <w:rsid w:val="00995D7E"/>
    <w:rsid w:val="009A12C5"/>
    <w:rsid w:val="009A5622"/>
    <w:rsid w:val="009B0700"/>
    <w:rsid w:val="009B1454"/>
    <w:rsid w:val="009B7201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BF5246"/>
    <w:rsid w:val="00C26480"/>
    <w:rsid w:val="00C416A1"/>
    <w:rsid w:val="00C43343"/>
    <w:rsid w:val="00C53CCC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CF399C"/>
    <w:rsid w:val="00D04127"/>
    <w:rsid w:val="00D111B1"/>
    <w:rsid w:val="00D25D2B"/>
    <w:rsid w:val="00D26A36"/>
    <w:rsid w:val="00D30F04"/>
    <w:rsid w:val="00D4277F"/>
    <w:rsid w:val="00D45D9C"/>
    <w:rsid w:val="00D50BB8"/>
    <w:rsid w:val="00D81CE4"/>
    <w:rsid w:val="00D87623"/>
    <w:rsid w:val="00DA579D"/>
    <w:rsid w:val="00DC14DC"/>
    <w:rsid w:val="00DC16B4"/>
    <w:rsid w:val="00DC1E73"/>
    <w:rsid w:val="00DC7DF3"/>
    <w:rsid w:val="00DD7348"/>
    <w:rsid w:val="00DF3D79"/>
    <w:rsid w:val="00E142DE"/>
    <w:rsid w:val="00E3669A"/>
    <w:rsid w:val="00E43F03"/>
    <w:rsid w:val="00E55999"/>
    <w:rsid w:val="00E67F51"/>
    <w:rsid w:val="00E81D12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239"/>
    <w:rsid w:val="00EE0A03"/>
    <w:rsid w:val="00EF078A"/>
    <w:rsid w:val="00EF30EA"/>
    <w:rsid w:val="00F00A35"/>
    <w:rsid w:val="00F04CB6"/>
    <w:rsid w:val="00F240BE"/>
    <w:rsid w:val="00F4035E"/>
    <w:rsid w:val="00F54654"/>
    <w:rsid w:val="00F570A3"/>
    <w:rsid w:val="00F67C18"/>
    <w:rsid w:val="00F74F99"/>
    <w:rsid w:val="00F94469"/>
    <w:rsid w:val="00F9591E"/>
    <w:rsid w:val="00FA731A"/>
    <w:rsid w:val="00FD0C5D"/>
    <w:rsid w:val="00FF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38A0-D037-447D-876F-425C72DD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2016-07-20T16:51:00Z</dcterms:created>
  <dcterms:modified xsi:type="dcterms:W3CDTF">2016-07-20T16:51:00Z</dcterms:modified>
</cp:coreProperties>
</file>