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A36D7">
      <w:pPr>
        <w:shd w:val="clear" w:color="auto" w:fill="FFFFFF"/>
        <w:spacing w:before="101" w:after="450" w:line="464" w:lineRule="exact"/>
        <w:ind w:left="1706" w:hanging="1706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000000" w:rsidRDefault="00CA36D7">
      <w:pPr>
        <w:shd w:val="clear" w:color="auto" w:fill="FFFFFF"/>
        <w:spacing w:before="101" w:after="450" w:line="464" w:lineRule="exact"/>
        <w:ind w:left="1706" w:hanging="1706"/>
        <w:sectPr w:rsidR="00000000">
          <w:type w:val="continuous"/>
          <w:pgSz w:w="11909" w:h="16834"/>
          <w:pgMar w:top="360" w:right="3160" w:bottom="360" w:left="3784" w:header="720" w:footer="720" w:gutter="0"/>
          <w:cols w:space="60"/>
          <w:noEndnote/>
        </w:sectPr>
      </w:pPr>
    </w:p>
    <w:p w:rsidR="00000000" w:rsidRDefault="00F029C8">
      <w:pPr>
        <w:shd w:val="clear" w:color="auto" w:fill="FFFFFF"/>
        <w:spacing w:before="130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DECRETO Nº</w:t>
      </w:r>
    </w:p>
    <w:p w:rsidR="00000000" w:rsidRDefault="00CA36D7">
      <w:pPr>
        <w:shd w:val="clear" w:color="auto" w:fill="FFFFFF"/>
        <w:spacing w:before="68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1685</w:t>
      </w:r>
    </w:p>
    <w:p w:rsidR="00000000" w:rsidRDefault="00CA36D7">
      <w:pPr>
        <w:shd w:val="clear" w:color="auto" w:fill="FFFFFF"/>
        <w:spacing w:before="137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</w:p>
    <w:p w:rsidR="00000000" w:rsidRDefault="00CA36D7">
      <w:pPr>
        <w:shd w:val="clear" w:color="auto" w:fill="FFFFFF"/>
        <w:spacing w:before="68"/>
      </w:pPr>
      <w:r>
        <w:br w:type="column"/>
      </w:r>
      <w:r>
        <w:rPr>
          <w:rFonts w:ascii="Arial" w:hAnsi="Arial" w:cs="Arial"/>
          <w:b/>
          <w:bCs/>
          <w:color w:val="000000"/>
        </w:rPr>
        <w:lastRenderedPageBreak/>
        <w:t>22</w:t>
      </w:r>
    </w:p>
    <w:p w:rsidR="00000000" w:rsidRDefault="00CA36D7">
      <w:pPr>
        <w:shd w:val="clear" w:color="auto" w:fill="FFFFFF"/>
        <w:spacing w:before="148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</w:p>
    <w:p w:rsidR="00000000" w:rsidRDefault="00CA36D7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27"/>
          <w:sz w:val="24"/>
          <w:szCs w:val="24"/>
        </w:rPr>
        <w:lastRenderedPageBreak/>
        <w:t>NOVENBRO</w:t>
      </w:r>
    </w:p>
    <w:p w:rsidR="00000000" w:rsidRDefault="00CA36D7">
      <w:pPr>
        <w:shd w:val="clear" w:color="auto" w:fill="FFFFFF"/>
        <w:spacing w:before="162"/>
      </w:pPr>
      <w:r>
        <w:br w:type="column"/>
      </w:r>
      <w:r w:rsidR="00F029C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DE   1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983</w:t>
      </w:r>
    </w:p>
    <w:p w:rsidR="00000000" w:rsidRDefault="00CA36D7">
      <w:pPr>
        <w:shd w:val="clear" w:color="auto" w:fill="FFFFFF"/>
        <w:spacing w:before="162"/>
        <w:sectPr w:rsidR="00000000">
          <w:type w:val="continuous"/>
          <w:pgSz w:w="11909" w:h="16834"/>
          <w:pgMar w:top="360" w:right="2473" w:bottom="360" w:left="1685" w:header="720" w:footer="720" w:gutter="0"/>
          <w:cols w:num="7" w:space="720" w:equalWidth="0">
            <w:col w:w="1378" w:space="54"/>
            <w:col w:w="720" w:space="130"/>
            <w:col w:w="720" w:space="0"/>
            <w:col w:w="720" w:space="670"/>
            <w:col w:w="720" w:space="0"/>
            <w:col w:w="1134" w:space="706"/>
            <w:col w:w="1148"/>
          </w:cols>
          <w:noEndnote/>
        </w:sectPr>
      </w:pPr>
    </w:p>
    <w:p w:rsidR="00000000" w:rsidRDefault="00F029C8">
      <w:pPr>
        <w:shd w:val="clear" w:color="auto" w:fill="FFFFFF"/>
        <w:spacing w:before="886" w:line="418" w:lineRule="exact"/>
        <w:ind w:left="5339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ABRE CREDITO SUPLEMENTAR NO     OR</w:t>
      </w:r>
      <w:r>
        <w:rPr>
          <w:rFonts w:ascii="Times New Roman" w:hAnsi="Times New Roman" w:cs="Times New Roman"/>
          <w:color w:val="000000"/>
          <w:sz w:val="24"/>
          <w:szCs w:val="24"/>
        </w:rPr>
        <w:t>ÇAMENTO VIGENTE</w:t>
      </w:r>
      <w:r w:rsidR="00CA36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CA36D7">
      <w:pPr>
        <w:shd w:val="clear" w:color="auto" w:fill="FFFFFF"/>
        <w:spacing w:before="850" w:line="425" w:lineRule="exact"/>
        <w:ind w:left="11" w:right="14" w:firstLine="2444"/>
        <w:jc w:val="both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O GOVERNADOR DO ESTADO DE RONDÔNIA, no uso de suas </w:t>
      </w:r>
      <w:r>
        <w:rPr>
          <w:rFonts w:ascii="Times New Roman" w:hAnsi="Times New Roman" w:cs="Times New Roman"/>
          <w:color w:val="000000"/>
          <w:sz w:val="26"/>
          <w:szCs w:val="26"/>
        </w:rPr>
        <w:t>atribuições legais e com fundamento no Artigo 7</w:t>
      </w:r>
      <w:r w:rsidR="00F029C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do Decreto-Lei 31 </w:t>
      </w:r>
      <w:r w:rsidR="00F029C8">
        <w:rPr>
          <w:rFonts w:ascii="Times New Roman" w:hAnsi="Times New Roman" w:cs="Times New Roman"/>
          <w:color w:val="000000"/>
          <w:sz w:val="26"/>
          <w:szCs w:val="26"/>
        </w:rPr>
        <w:t>de 30 de novembro de 1</w:t>
      </w:r>
      <w:r>
        <w:rPr>
          <w:rFonts w:ascii="Times New Roman" w:hAnsi="Times New Roman" w:cs="Times New Roman"/>
          <w:color w:val="000000"/>
          <w:sz w:val="26"/>
          <w:szCs w:val="26"/>
        </w:rPr>
        <w:t>982.</w:t>
      </w:r>
    </w:p>
    <w:p w:rsidR="00000000" w:rsidRDefault="00CA36D7">
      <w:pPr>
        <w:shd w:val="clear" w:color="auto" w:fill="FFFFFF"/>
        <w:spacing w:before="943"/>
        <w:ind w:left="2455"/>
      </w:pPr>
      <w:r>
        <w:rPr>
          <w:rFonts w:ascii="Times New Roman" w:hAnsi="Times New Roman" w:cs="Times New Roman"/>
          <w:color w:val="000000"/>
          <w:spacing w:val="82"/>
          <w:sz w:val="26"/>
          <w:szCs w:val="26"/>
        </w:rPr>
        <w:t>DECRETA:</w:t>
      </w:r>
    </w:p>
    <w:p w:rsidR="00000000" w:rsidRDefault="00CA36D7">
      <w:pPr>
        <w:shd w:val="clear" w:color="auto" w:fill="FFFFFF"/>
        <w:spacing w:before="313" w:after="281" w:line="421" w:lineRule="exact"/>
        <w:ind w:firstLine="2437"/>
        <w:jc w:val="both"/>
      </w:pPr>
      <w:r>
        <w:rPr>
          <w:color w:val="000000"/>
          <w:spacing w:val="-9"/>
          <w:sz w:val="26"/>
          <w:szCs w:val="26"/>
        </w:rPr>
        <w:t>Artigo l</w:t>
      </w:r>
      <w:r w:rsidR="00F029C8">
        <w:rPr>
          <w:color w:val="000000"/>
          <w:spacing w:val="-9"/>
          <w:sz w:val="26"/>
          <w:szCs w:val="26"/>
          <w:vertAlign w:val="superscript"/>
        </w:rPr>
        <w:t>º</w:t>
      </w:r>
      <w:r>
        <w:rPr>
          <w:color w:val="000000"/>
          <w:spacing w:val="-9"/>
          <w:sz w:val="26"/>
          <w:szCs w:val="26"/>
        </w:rPr>
        <w:t xml:space="preserve"> - Fica aberto a Secretaria de Estado da </w:t>
      </w:r>
      <w:r>
        <w:rPr>
          <w:color w:val="000000"/>
          <w:spacing w:val="-13"/>
          <w:sz w:val="26"/>
          <w:szCs w:val="26"/>
        </w:rPr>
        <w:t>Saúde um cré</w:t>
      </w:r>
      <w:r>
        <w:rPr>
          <w:color w:val="000000"/>
          <w:spacing w:val="-13"/>
          <w:sz w:val="26"/>
          <w:szCs w:val="26"/>
        </w:rPr>
        <w:t xml:space="preserve">dito suplementar no valor de CR$ 17.000.000,00(Dezessete </w:t>
      </w:r>
      <w:r>
        <w:rPr>
          <w:color w:val="000000"/>
          <w:spacing w:val="-15"/>
          <w:sz w:val="26"/>
          <w:szCs w:val="26"/>
        </w:rPr>
        <w:t>Milhões de Cruzeiros) observando as cl</w:t>
      </w:r>
      <w:r w:rsidR="00F029C8">
        <w:rPr>
          <w:color w:val="000000"/>
          <w:spacing w:val="-15"/>
          <w:sz w:val="26"/>
          <w:szCs w:val="26"/>
        </w:rPr>
        <w:t>assificações institucionais eco</w:t>
      </w:r>
      <w:r w:rsidR="00F029C8">
        <w:rPr>
          <w:color w:val="000000"/>
          <w:spacing w:val="-13"/>
          <w:sz w:val="26"/>
          <w:szCs w:val="26"/>
        </w:rPr>
        <w:t>nômicas</w:t>
      </w:r>
      <w:r>
        <w:rPr>
          <w:color w:val="000000"/>
          <w:spacing w:val="-13"/>
          <w:sz w:val="26"/>
          <w:szCs w:val="26"/>
        </w:rPr>
        <w:t xml:space="preserve"> e funcional programática, conforme discriminação:</w:t>
      </w:r>
    </w:p>
    <w:p w:rsidR="00000000" w:rsidRDefault="00CA36D7">
      <w:pPr>
        <w:shd w:val="clear" w:color="auto" w:fill="FFFFFF"/>
        <w:spacing w:before="313" w:after="281" w:line="421" w:lineRule="exact"/>
        <w:ind w:firstLine="2437"/>
        <w:jc w:val="both"/>
        <w:sectPr w:rsidR="00000000">
          <w:type w:val="continuous"/>
          <w:pgSz w:w="11909" w:h="16834"/>
          <w:pgMar w:top="360" w:right="471" w:bottom="360" w:left="1646" w:header="720" w:footer="720" w:gutter="0"/>
          <w:cols w:space="60"/>
          <w:noEndnote/>
        </w:sectPr>
      </w:pPr>
    </w:p>
    <w:p w:rsidR="00000000" w:rsidRDefault="00CA36D7">
      <w:pPr>
        <w:framePr w:w="2048" w:h="853" w:hRule="exact" w:hSpace="40" w:wrap="auto" w:vAnchor="text" w:hAnchor="margin" w:x="4681" w:y="4091"/>
        <w:shd w:val="clear" w:color="auto" w:fill="FFFFFF"/>
        <w:spacing w:line="425" w:lineRule="exact"/>
        <w:ind w:left="4"/>
      </w:pPr>
      <w:r>
        <w:rPr>
          <w:color w:val="000000"/>
          <w:spacing w:val="-16"/>
          <w:sz w:val="26"/>
          <w:szCs w:val="26"/>
        </w:rPr>
        <w:t>17.000.000,00 17.000.000,00</w:t>
      </w:r>
    </w:p>
    <w:p w:rsidR="00000000" w:rsidRDefault="00CA36D7">
      <w:pPr>
        <w:shd w:val="clear" w:color="auto" w:fill="FFFFFF"/>
        <w:spacing w:line="425" w:lineRule="exact"/>
        <w:ind w:right="169"/>
        <w:jc w:val="center"/>
      </w:pPr>
      <w:r>
        <w:rPr>
          <w:color w:val="000000"/>
          <w:spacing w:val="-18"/>
          <w:sz w:val="26"/>
          <w:szCs w:val="26"/>
        </w:rPr>
        <w:lastRenderedPageBreak/>
        <w:t>SUPLEMENTA:</w:t>
      </w:r>
    </w:p>
    <w:p w:rsidR="00000000" w:rsidRDefault="00CA36D7" w:rsidP="00F029C8">
      <w:pPr>
        <w:numPr>
          <w:ilvl w:val="0"/>
          <w:numId w:val="1"/>
        </w:numPr>
        <w:shd w:val="clear" w:color="auto" w:fill="FFFFFF"/>
        <w:tabs>
          <w:tab w:val="left" w:pos="2164"/>
        </w:tabs>
        <w:spacing w:line="425" w:lineRule="exact"/>
        <w:ind w:left="1307"/>
        <w:rPr>
          <w:color w:val="000000"/>
          <w:spacing w:val="-2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- Secretaria de Estado da Saúde</w:t>
      </w:r>
    </w:p>
    <w:p w:rsidR="00000000" w:rsidRDefault="00CA36D7" w:rsidP="00F029C8">
      <w:pPr>
        <w:numPr>
          <w:ilvl w:val="0"/>
          <w:numId w:val="1"/>
        </w:numPr>
        <w:shd w:val="clear" w:color="auto" w:fill="FFFFFF"/>
        <w:tabs>
          <w:tab w:val="left" w:pos="2164"/>
        </w:tabs>
        <w:spacing w:line="425" w:lineRule="exact"/>
        <w:ind w:left="1012" w:firstLine="295"/>
        <w:rPr>
          <w:color w:val="000000"/>
          <w:spacing w:val="-22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- Secretaria de Estado da Saúde </w:t>
      </w:r>
      <w:r>
        <w:rPr>
          <w:color w:val="000000"/>
          <w:spacing w:val="-13"/>
          <w:sz w:val="26"/>
          <w:szCs w:val="26"/>
        </w:rPr>
        <w:t>3120.00 - Material de Consumo 3132.00 - Outros Serviços e Encargos</w:t>
      </w:r>
    </w:p>
    <w:p w:rsidR="00000000" w:rsidRDefault="00CA36D7">
      <w:pPr>
        <w:shd w:val="clear" w:color="auto" w:fill="FFFFFF"/>
        <w:spacing w:line="425" w:lineRule="exact"/>
        <w:ind w:left="2459"/>
      </w:pPr>
      <w:r>
        <w:rPr>
          <w:color w:val="000000"/>
          <w:spacing w:val="-16"/>
          <w:sz w:val="26"/>
          <w:szCs w:val="26"/>
        </w:rPr>
        <w:t>TOTAL</w:t>
      </w:r>
    </w:p>
    <w:p w:rsidR="00000000" w:rsidRDefault="00CA36D7">
      <w:pPr>
        <w:framePr w:h="302" w:hRule="exact" w:hSpace="40" w:wrap="auto" w:vAnchor="text" w:hAnchor="text" w:x="4803" w:y="192"/>
        <w:shd w:val="clear" w:color="auto" w:fill="FFFFFF"/>
      </w:pPr>
      <w:r>
        <w:rPr>
          <w:color w:val="000000"/>
          <w:spacing w:val="-16"/>
          <w:sz w:val="26"/>
          <w:szCs w:val="26"/>
        </w:rPr>
        <w:t>CORRENTE</w:t>
      </w:r>
    </w:p>
    <w:p w:rsidR="00000000" w:rsidRDefault="00CA36D7">
      <w:pPr>
        <w:shd w:val="clear" w:color="auto" w:fill="FFFFFF"/>
        <w:spacing w:before="277" w:line="425" w:lineRule="exact"/>
        <w:ind w:left="11" w:right="2160"/>
      </w:pPr>
      <w:r>
        <w:rPr>
          <w:color w:val="000000"/>
          <w:sz w:val="26"/>
          <w:szCs w:val="26"/>
        </w:rPr>
        <w:t xml:space="preserve">PROJETO/ATIVIDADE </w:t>
      </w:r>
      <w:r>
        <w:rPr>
          <w:color w:val="000000"/>
          <w:spacing w:val="-15"/>
          <w:sz w:val="26"/>
          <w:szCs w:val="26"/>
        </w:rPr>
        <w:t xml:space="preserve">17.01.13.07.021.2.022 - Ativi dades da Secretaria de Estado </w:t>
      </w:r>
      <w:r>
        <w:rPr>
          <w:color w:val="000000"/>
          <w:sz w:val="26"/>
          <w:szCs w:val="26"/>
        </w:rPr>
        <w:t>da Saúde TOTAL</w:t>
      </w:r>
    </w:p>
    <w:p w:rsidR="00000000" w:rsidRDefault="00CA36D7">
      <w:pPr>
        <w:shd w:val="clear" w:color="auto" w:fill="FFFFFF"/>
        <w:spacing w:before="1361"/>
        <w:ind w:right="14"/>
        <w:jc w:val="right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10.000.000,00</w:t>
      </w:r>
    </w:p>
    <w:p w:rsidR="00000000" w:rsidRDefault="00CA36D7">
      <w:pPr>
        <w:shd w:val="clear" w:color="auto" w:fill="FFFFFF"/>
        <w:spacing w:before="137"/>
        <w:ind w:right="22"/>
        <w:jc w:val="right"/>
      </w:pPr>
      <w:r>
        <w:rPr>
          <w:color w:val="000000"/>
          <w:spacing w:val="-17"/>
          <w:sz w:val="26"/>
          <w:szCs w:val="26"/>
        </w:rPr>
        <w:t>7.000.000,00</w:t>
      </w:r>
    </w:p>
    <w:p w:rsidR="00000000" w:rsidRDefault="00CA36D7">
      <w:pPr>
        <w:shd w:val="clear" w:color="auto" w:fill="FFFFFF"/>
        <w:spacing w:before="119"/>
        <w:ind w:right="22"/>
        <w:jc w:val="right"/>
      </w:pPr>
      <w:r>
        <w:rPr>
          <w:color w:val="000000"/>
          <w:spacing w:val="-19"/>
          <w:sz w:val="26"/>
          <w:szCs w:val="26"/>
        </w:rPr>
        <w:t>17.000.000,00</w:t>
      </w:r>
    </w:p>
    <w:p w:rsidR="00000000" w:rsidRDefault="00CA36D7">
      <w:pPr>
        <w:shd w:val="clear" w:color="auto" w:fill="FFFFFF"/>
        <w:spacing w:before="385"/>
        <w:ind w:left="425"/>
      </w:pPr>
      <w:r>
        <w:rPr>
          <w:color w:val="000000"/>
          <w:spacing w:val="-17"/>
          <w:sz w:val="26"/>
          <w:szCs w:val="26"/>
        </w:rPr>
        <w:t>TOTAL</w:t>
      </w:r>
    </w:p>
    <w:p w:rsidR="00000000" w:rsidRDefault="00CA36D7">
      <w:pPr>
        <w:shd w:val="clear" w:color="auto" w:fill="FFFFFF"/>
        <w:spacing w:before="857" w:line="425" w:lineRule="exact"/>
        <w:ind w:left="14"/>
      </w:pPr>
      <w:r>
        <w:rPr>
          <w:color w:val="000000"/>
          <w:spacing w:val="-19"/>
          <w:sz w:val="26"/>
          <w:szCs w:val="26"/>
        </w:rPr>
        <w:t xml:space="preserve">17.000.000,00 </w:t>
      </w:r>
      <w:r>
        <w:rPr>
          <w:color w:val="000000"/>
          <w:spacing w:val="-18"/>
          <w:sz w:val="26"/>
          <w:szCs w:val="26"/>
        </w:rPr>
        <w:t>17.000.000,00</w:t>
      </w:r>
    </w:p>
    <w:p w:rsidR="00000000" w:rsidRDefault="00CA36D7">
      <w:pPr>
        <w:shd w:val="clear" w:color="auto" w:fill="FFFFFF"/>
        <w:spacing w:before="857" w:line="425" w:lineRule="exact"/>
        <w:ind w:left="14"/>
        <w:sectPr w:rsidR="00000000">
          <w:type w:val="continuous"/>
          <w:pgSz w:w="11909" w:h="16834"/>
          <w:pgMar w:top="360" w:right="471" w:bottom="360" w:left="1653" w:header="720" w:footer="720" w:gutter="0"/>
          <w:cols w:num="2" w:space="720" w:equalWidth="0">
            <w:col w:w="6602" w:space="1350"/>
            <w:col w:w="1832"/>
          </w:cols>
          <w:noEndnote/>
        </w:sectPr>
      </w:pPr>
    </w:p>
    <w:p w:rsidR="00000000" w:rsidRDefault="00CA36D7">
      <w:pPr>
        <w:shd w:val="clear" w:color="auto" w:fill="FFFFFF"/>
        <w:spacing w:before="1195"/>
        <w:ind w:left="6113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\</w:t>
      </w:r>
    </w:p>
    <w:p w:rsidR="00000000" w:rsidRDefault="00CA36D7">
      <w:pPr>
        <w:shd w:val="clear" w:color="auto" w:fill="FFFFFF"/>
        <w:spacing w:before="1195"/>
        <w:ind w:left="6113"/>
        <w:sectPr w:rsidR="00000000">
          <w:type w:val="continuous"/>
          <w:pgSz w:w="11909" w:h="16834"/>
          <w:pgMar w:top="360" w:right="471" w:bottom="360" w:left="1646" w:header="720" w:footer="720" w:gutter="0"/>
          <w:cols w:space="60"/>
          <w:noEndnote/>
        </w:sectPr>
      </w:pPr>
    </w:p>
    <w:p w:rsidR="00000000" w:rsidRDefault="00CA36D7" w:rsidP="00CA36D7">
      <w:pPr>
        <w:framePr w:h="2462" w:hSpace="36" w:wrap="notBeside" w:vAnchor="text" w:hAnchor="page" w:x="70" w:y="-1093"/>
        <w:rPr>
          <w:rFonts w:ascii="Arial" w:hAnsi="Arial" w:cs="Arial"/>
          <w:sz w:val="24"/>
          <w:szCs w:val="24"/>
        </w:rPr>
      </w:pPr>
    </w:p>
    <w:p w:rsidR="00000000" w:rsidRDefault="00CA36D7">
      <w:pPr>
        <w:framePr w:h="1167" w:hSpace="36" w:wrap="notBeside" w:vAnchor="text" w:hAnchor="margin" w:x="-1439" w:y="1"/>
        <w:rPr>
          <w:rFonts w:ascii="Arial" w:hAnsi="Arial" w:cs="Arial"/>
          <w:sz w:val="24"/>
          <w:szCs w:val="24"/>
        </w:rPr>
      </w:pPr>
    </w:p>
    <w:p w:rsidR="00000000" w:rsidRDefault="00CA36D7">
      <w:pPr>
        <w:shd w:val="clear" w:color="auto" w:fill="FFFFFF"/>
        <w:spacing w:before="238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00000" w:rsidRDefault="00CA36D7">
      <w:pPr>
        <w:shd w:val="clear" w:color="auto" w:fill="FFFFFF"/>
        <w:spacing w:before="173"/>
        <w:ind w:left="137"/>
        <w:jc w:val="center"/>
      </w:pPr>
      <w:r>
        <w:rPr>
          <w:color w:val="000000"/>
          <w:spacing w:val="-5"/>
          <w:sz w:val="24"/>
          <w:szCs w:val="24"/>
        </w:rPr>
        <w:t>GOVERNADORIA</w:t>
      </w:r>
    </w:p>
    <w:p w:rsidR="00000000" w:rsidRDefault="00CA36D7">
      <w:pPr>
        <w:shd w:val="clear" w:color="auto" w:fill="FFFFFF"/>
        <w:spacing w:before="173"/>
        <w:ind w:left="137"/>
        <w:jc w:val="center"/>
        <w:sectPr w:rsidR="00000000">
          <w:pgSz w:w="11909" w:h="16834"/>
          <w:pgMar w:top="1094" w:right="3154" w:bottom="360" w:left="3795" w:header="720" w:footer="720" w:gutter="0"/>
          <w:cols w:space="60"/>
          <w:noEndnote/>
        </w:sectPr>
      </w:pPr>
    </w:p>
    <w:p w:rsidR="00000000" w:rsidRDefault="00CA36D7">
      <w:pPr>
        <w:shd w:val="clear" w:color="auto" w:fill="FFFFFF"/>
        <w:spacing w:before="612" w:line="425" w:lineRule="exact"/>
        <w:ind w:left="2470"/>
      </w:pPr>
      <w:r>
        <w:rPr>
          <w:color w:val="000000"/>
          <w:spacing w:val="-4"/>
          <w:sz w:val="24"/>
          <w:szCs w:val="24"/>
        </w:rPr>
        <w:t>REDUZ</w:t>
      </w:r>
    </w:p>
    <w:p w:rsidR="00000000" w:rsidRDefault="00CA36D7" w:rsidP="00F029C8">
      <w:pPr>
        <w:numPr>
          <w:ilvl w:val="0"/>
          <w:numId w:val="2"/>
        </w:numPr>
        <w:shd w:val="clear" w:color="auto" w:fill="FFFFFF"/>
        <w:tabs>
          <w:tab w:val="left" w:pos="2182"/>
        </w:tabs>
        <w:spacing w:line="425" w:lineRule="exact"/>
        <w:ind w:left="1325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Secretaria de Estado da Saúde</w:t>
      </w:r>
    </w:p>
    <w:p w:rsidR="00000000" w:rsidRDefault="00CA36D7" w:rsidP="00F029C8">
      <w:pPr>
        <w:numPr>
          <w:ilvl w:val="0"/>
          <w:numId w:val="2"/>
        </w:numPr>
        <w:shd w:val="clear" w:color="auto" w:fill="FFFFFF"/>
        <w:tabs>
          <w:tab w:val="left" w:pos="2182"/>
        </w:tabs>
        <w:spacing w:line="425" w:lineRule="exact"/>
        <w:ind w:left="1325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Secretaria de Estado da Saúde</w:t>
      </w:r>
    </w:p>
    <w:p w:rsidR="00000000" w:rsidRDefault="00CA36D7">
      <w:pPr>
        <w:shd w:val="clear" w:color="auto" w:fill="FFFFFF"/>
        <w:tabs>
          <w:tab w:val="left" w:pos="6948"/>
        </w:tabs>
        <w:spacing w:line="425" w:lineRule="exact"/>
        <w:ind w:right="36"/>
        <w:jc w:val="right"/>
      </w:pPr>
      <w:r>
        <w:rPr>
          <w:color w:val="000000"/>
          <w:spacing w:val="-1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10.000.000,00</w:t>
      </w:r>
    </w:p>
    <w:p w:rsidR="00000000" w:rsidRDefault="00CA36D7">
      <w:pPr>
        <w:shd w:val="clear" w:color="auto" w:fill="FFFFFF"/>
        <w:tabs>
          <w:tab w:val="left" w:pos="7085"/>
        </w:tabs>
        <w:spacing w:line="425" w:lineRule="exact"/>
        <w:ind w:right="43"/>
        <w:jc w:val="right"/>
      </w:pPr>
      <w:r>
        <w:rPr>
          <w:color w:val="000000"/>
          <w:spacing w:val="-1"/>
          <w:sz w:val="24"/>
          <w:szCs w:val="24"/>
        </w:rPr>
        <w:t>3132.00 - Outros Serviços e Encargos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7.000.000,00</w:t>
      </w:r>
    </w:p>
    <w:p w:rsidR="00000000" w:rsidRDefault="00CA36D7">
      <w:pPr>
        <w:shd w:val="clear" w:color="auto" w:fill="FFFFFF"/>
        <w:tabs>
          <w:tab w:val="left" w:pos="5501"/>
        </w:tabs>
        <w:spacing w:line="425" w:lineRule="exact"/>
        <w:ind w:right="43"/>
        <w:jc w:val="right"/>
      </w:pPr>
      <w:r>
        <w:rPr>
          <w:color w:val="000000"/>
          <w:spacing w:val="-3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17.000.000,00</w:t>
      </w:r>
    </w:p>
    <w:p w:rsidR="00000000" w:rsidRDefault="00CA36D7">
      <w:pPr>
        <w:shd w:val="clear" w:color="auto" w:fill="FFFFFF"/>
        <w:tabs>
          <w:tab w:val="left" w:pos="5191"/>
          <w:tab w:val="left" w:pos="8388"/>
        </w:tabs>
        <w:spacing w:before="259" w:line="425" w:lineRule="exact"/>
      </w:pPr>
      <w:r>
        <w:rPr>
          <w:color w:val="000000"/>
          <w:spacing w:val="-3"/>
          <w:sz w:val="24"/>
          <w:szCs w:val="24"/>
        </w:rPr>
        <w:t>PROJETO/ATIVIDADE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CORRENTE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TOTAL</w:t>
      </w:r>
    </w:p>
    <w:p w:rsidR="00000000" w:rsidRDefault="00CA36D7">
      <w:pPr>
        <w:shd w:val="clear" w:color="auto" w:fill="FFFFFF"/>
        <w:spacing w:line="425" w:lineRule="exact"/>
        <w:ind w:left="14"/>
      </w:pPr>
      <w:r>
        <w:rPr>
          <w:color w:val="000000"/>
          <w:spacing w:val="-1"/>
          <w:sz w:val="24"/>
          <w:szCs w:val="24"/>
        </w:rPr>
        <w:t>17.01.13.75.428.1007 - Constru</w:t>
      </w:r>
    </w:p>
    <w:p w:rsidR="00000000" w:rsidRDefault="00CA36D7">
      <w:pPr>
        <w:shd w:val="clear" w:color="auto" w:fill="FFFFFF"/>
        <w:spacing w:line="425" w:lineRule="exact"/>
        <w:ind w:left="7"/>
      </w:pPr>
      <w:r>
        <w:rPr>
          <w:color w:val="000000"/>
          <w:spacing w:val="-1"/>
          <w:sz w:val="24"/>
          <w:szCs w:val="24"/>
        </w:rPr>
        <w:t>Ção</w:t>
      </w:r>
      <w:r>
        <w:rPr>
          <w:color w:val="000000"/>
          <w:spacing w:val="-1"/>
          <w:sz w:val="24"/>
          <w:szCs w:val="24"/>
        </w:rPr>
        <w:t>, Instalação e Aparelhamento</w:t>
      </w:r>
    </w:p>
    <w:p w:rsidR="00000000" w:rsidRDefault="00CA36D7">
      <w:pPr>
        <w:shd w:val="clear" w:color="auto" w:fill="FFFFFF"/>
        <w:tabs>
          <w:tab w:val="left" w:pos="5054"/>
        </w:tabs>
        <w:spacing w:line="425" w:lineRule="exact"/>
        <w:ind w:left="7"/>
      </w:pPr>
      <w:r>
        <w:rPr>
          <w:color w:val="000000"/>
          <w:spacing w:val="-3"/>
          <w:sz w:val="24"/>
          <w:szCs w:val="24"/>
        </w:rPr>
        <w:t xml:space="preserve"> De</w:t>
      </w:r>
      <w:r>
        <w:rPr>
          <w:color w:val="000000"/>
          <w:spacing w:val="-3"/>
          <w:sz w:val="24"/>
          <w:szCs w:val="24"/>
        </w:rPr>
        <w:t xml:space="preserve"> Postos de Saúde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17.000.000,00       17.000.000,00</w:t>
      </w:r>
    </w:p>
    <w:p w:rsidR="00000000" w:rsidRDefault="00CA36D7">
      <w:pPr>
        <w:shd w:val="clear" w:color="auto" w:fill="FFFFFF"/>
        <w:tabs>
          <w:tab w:val="left" w:pos="5054"/>
        </w:tabs>
        <w:spacing w:line="425" w:lineRule="exact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17.000.000,00       17.000.000,00</w:t>
      </w:r>
    </w:p>
    <w:p w:rsidR="00000000" w:rsidRDefault="00CA36D7">
      <w:pPr>
        <w:shd w:val="clear" w:color="auto" w:fill="FFFFFF"/>
        <w:spacing w:before="266" w:line="425" w:lineRule="exact"/>
        <w:ind w:right="65" w:firstLine="2441"/>
        <w:jc w:val="both"/>
      </w:pPr>
      <w:r>
        <w:rPr>
          <w:color w:val="000000"/>
          <w:spacing w:val="-3"/>
          <w:sz w:val="24"/>
          <w:szCs w:val="24"/>
        </w:rPr>
        <w:t>Artigo 2</w:t>
      </w:r>
      <w:r>
        <w:rPr>
          <w:color w:val="000000"/>
          <w:spacing w:val="-3"/>
          <w:sz w:val="24"/>
          <w:szCs w:val="24"/>
          <w:vertAlign w:val="superscript"/>
        </w:rPr>
        <w:t>º</w:t>
      </w:r>
      <w:r>
        <w:rPr>
          <w:color w:val="000000"/>
          <w:spacing w:val="-3"/>
          <w:sz w:val="24"/>
          <w:szCs w:val="24"/>
        </w:rPr>
        <w:t xml:space="preserve"> - 0 valor do crédito de que trata o arti</w:t>
      </w:r>
      <w:r>
        <w:rPr>
          <w:color w:val="000000"/>
          <w:sz w:val="24"/>
          <w:szCs w:val="24"/>
        </w:rPr>
        <w:t xml:space="preserve">go anterior, será coberto com recursos de que trata o inciso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>§ 12 do Artigo 43 da Lei Federal 4.320 de 1</w:t>
      </w:r>
      <w:r>
        <w:rPr>
          <w:color w:val="000000"/>
          <w:sz w:val="24"/>
          <w:szCs w:val="24"/>
        </w:rPr>
        <w:t>7.03.64.</w:t>
      </w:r>
    </w:p>
    <w:p w:rsidR="00000000" w:rsidRDefault="00CA36D7">
      <w:pPr>
        <w:shd w:val="clear" w:color="auto" w:fill="FFFFFF"/>
        <w:spacing w:before="274" w:line="425" w:lineRule="exact"/>
        <w:ind w:firstLine="2426"/>
        <w:jc w:val="both"/>
      </w:pPr>
      <w:r>
        <w:rPr>
          <w:color w:val="000000"/>
          <w:spacing w:val="-2"/>
          <w:sz w:val="24"/>
          <w:szCs w:val="24"/>
        </w:rPr>
        <w:t>Artigo 3</w:t>
      </w:r>
      <w:r>
        <w:rPr>
          <w:color w:val="000000"/>
          <w:spacing w:val="-2"/>
          <w:sz w:val="24"/>
          <w:szCs w:val="24"/>
          <w:vertAlign w:val="superscript"/>
        </w:rPr>
        <w:t>º</w:t>
      </w:r>
      <w:r>
        <w:rPr>
          <w:color w:val="000000"/>
          <w:spacing w:val="-2"/>
          <w:sz w:val="24"/>
          <w:szCs w:val="24"/>
        </w:rPr>
        <w:t xml:space="preserve"> - Fica constante a Programação da Despesa </w:t>
      </w:r>
      <w:r>
        <w:rPr>
          <w:color w:val="000000"/>
          <w:spacing w:val="-3"/>
          <w:sz w:val="24"/>
          <w:szCs w:val="24"/>
        </w:rPr>
        <w:t xml:space="preserve">dessa Unidade Orçamentaria, estabelecido pelo Decreto 781 de 31.12.81 </w:t>
      </w:r>
      <w:r>
        <w:rPr>
          <w:color w:val="000000"/>
          <w:sz w:val="24"/>
          <w:szCs w:val="24"/>
        </w:rPr>
        <w:t>conforme discriminação:</w:t>
      </w:r>
    </w:p>
    <w:p w:rsidR="00000000" w:rsidRDefault="00CA36D7">
      <w:pPr>
        <w:shd w:val="clear" w:color="auto" w:fill="FFFFFF"/>
        <w:tabs>
          <w:tab w:val="left" w:pos="5054"/>
        </w:tabs>
        <w:spacing w:line="418" w:lineRule="exact"/>
        <w:ind w:right="58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 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2.188.599.865, 00</w:t>
      </w:r>
    </w:p>
    <w:p w:rsidR="00000000" w:rsidRDefault="00CA36D7">
      <w:pPr>
        <w:shd w:val="clear" w:color="auto" w:fill="FFFFFF"/>
        <w:tabs>
          <w:tab w:val="left" w:pos="5198"/>
        </w:tabs>
        <w:spacing w:line="418" w:lineRule="exact"/>
        <w:ind w:right="58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II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2.130.580.719, 00</w:t>
      </w:r>
    </w:p>
    <w:p w:rsidR="00000000" w:rsidRDefault="00CA36D7">
      <w:pPr>
        <w:shd w:val="clear" w:color="auto" w:fill="FFFFFF"/>
        <w:tabs>
          <w:tab w:val="left" w:pos="5342"/>
        </w:tabs>
        <w:spacing w:line="418" w:lineRule="exact"/>
        <w:ind w:right="58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III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2.387.145.095, 00</w:t>
      </w:r>
    </w:p>
    <w:p w:rsidR="00000000" w:rsidRDefault="00CA36D7">
      <w:pPr>
        <w:shd w:val="clear" w:color="auto" w:fill="FFFFFF"/>
        <w:tabs>
          <w:tab w:val="left" w:pos="5479"/>
        </w:tabs>
        <w:spacing w:line="418" w:lineRule="exact"/>
        <w:ind w:right="65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>IV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369.838.016</w:t>
      </w:r>
      <w:bookmarkStart w:id="0" w:name="_GoBack"/>
      <w:bookmarkEnd w:id="0"/>
      <w:r>
        <w:rPr>
          <w:color w:val="000000"/>
          <w:spacing w:val="-6"/>
          <w:sz w:val="24"/>
          <w:szCs w:val="24"/>
          <w:lang w:eastAsia="en-US"/>
        </w:rPr>
        <w:t>, 00</w:t>
      </w:r>
    </w:p>
    <w:p w:rsidR="00000000" w:rsidRDefault="00CA36D7">
      <w:pPr>
        <w:shd w:val="clear" w:color="auto" w:fill="FFFFFF"/>
        <w:tabs>
          <w:tab w:val="left" w:pos="4630"/>
        </w:tabs>
        <w:spacing w:line="418" w:lineRule="exact"/>
        <w:ind w:right="58"/>
        <w:jc w:val="right"/>
      </w:pPr>
      <w:r>
        <w:rPr>
          <w:color w:val="000000"/>
          <w:spacing w:val="-3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7.076.163.695,00</w:t>
      </w:r>
    </w:p>
    <w:p w:rsidR="00000000" w:rsidRDefault="00CA36D7">
      <w:pPr>
        <w:shd w:val="clear" w:color="auto" w:fill="FFFFFF"/>
        <w:spacing w:before="281" w:line="439" w:lineRule="exact"/>
        <w:ind w:left="7" w:right="50" w:firstLine="2441"/>
        <w:jc w:val="both"/>
      </w:pPr>
      <w:r>
        <w:rPr>
          <w:color w:val="000000"/>
          <w:sz w:val="24"/>
          <w:szCs w:val="24"/>
        </w:rPr>
        <w:t>Artigo 4</w:t>
      </w:r>
      <w:r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Este Decreto entrara em vigor na data de sua publicação.</w:t>
      </w:r>
    </w:p>
    <w:p w:rsidR="00F029C8" w:rsidRDefault="00CA36D7">
      <w:pPr>
        <w:shd w:val="clear" w:color="auto" w:fill="FFFFFF"/>
        <w:spacing w:before="914" w:line="281" w:lineRule="exact"/>
        <w:ind w:left="5630" w:right="1210" w:hanging="1152"/>
      </w:pPr>
      <w:r>
        <w:rPr>
          <w:color w:val="000000"/>
          <w:spacing w:val="-2"/>
          <w:sz w:val="24"/>
          <w:szCs w:val="24"/>
        </w:rPr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sectPr w:rsidR="00F029C8">
      <w:type w:val="continuous"/>
      <w:pgSz w:w="11909" w:h="16834"/>
      <w:pgMar w:top="1094" w:right="425" w:bottom="360" w:left="1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086"/>
    <w:multiLevelType w:val="singleLevel"/>
    <w:tmpl w:val="212CFCB0"/>
    <w:lvl w:ilvl="0">
      <w:numFmt w:val="decimal"/>
      <w:lvlText w:val="17.%1"/>
      <w:legacy w:legacy="1" w:legacySpace="0" w:legacyIndent="857"/>
      <w:lvlJc w:val="left"/>
      <w:rPr>
        <w:rFonts w:ascii="Courier New" w:hAnsi="Courier New" w:cs="Courier New" w:hint="default"/>
      </w:rPr>
    </w:lvl>
  </w:abstractNum>
  <w:abstractNum w:abstractNumId="1">
    <w:nsid w:val="491746FD"/>
    <w:multiLevelType w:val="singleLevel"/>
    <w:tmpl w:val="212CFCB0"/>
    <w:lvl w:ilvl="0">
      <w:numFmt w:val="decimal"/>
      <w:lvlText w:val="17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8"/>
    <w:rsid w:val="00CA36D7"/>
    <w:rsid w:val="00F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D69B19-C922-4E5C-A437-3F52B883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2016-09-16T11:59:00Z</dcterms:created>
  <dcterms:modified xsi:type="dcterms:W3CDTF">2016-09-16T12:19:00Z</dcterms:modified>
</cp:coreProperties>
</file>