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31" w:rsidRPr="000B68B4" w:rsidRDefault="00BF1031" w:rsidP="000B68B4">
      <w:pPr>
        <w:pStyle w:val="Corpodetexto"/>
        <w:ind w:firstLine="567"/>
        <w:jc w:val="both"/>
      </w:pPr>
    </w:p>
    <w:p w:rsidR="00BF1031" w:rsidRPr="000B68B4" w:rsidRDefault="000B68B4" w:rsidP="000B68B4">
      <w:pPr>
        <w:pStyle w:val="Corpodetexto"/>
        <w:jc w:val="center"/>
      </w:pPr>
      <w:r w:rsidRPr="000B68B4">
        <w:rPr>
          <w:noProof/>
          <w:lang w:val="pt-BR" w:eastAsia="pt-BR" w:bidi="ar-SA"/>
        </w:rPr>
        <w:drawing>
          <wp:inline distT="0" distB="0" distL="0" distR="0">
            <wp:extent cx="1424525" cy="10921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525" cy="109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31" w:rsidRPr="000B68B4" w:rsidRDefault="000B68B4" w:rsidP="000B68B4">
      <w:pPr>
        <w:pStyle w:val="Corpodetexto"/>
        <w:spacing w:before="206"/>
        <w:jc w:val="center"/>
      </w:pPr>
      <w:r w:rsidRPr="000B68B4">
        <w:t>DECRETO N. 23.260, DE 11 DE OUTUBRO DE 2018.</w:t>
      </w:r>
    </w:p>
    <w:p w:rsidR="00420952" w:rsidRPr="000B68B4" w:rsidRDefault="00420952" w:rsidP="000B68B4">
      <w:pPr>
        <w:pStyle w:val="Corpodetexto"/>
        <w:spacing w:before="206"/>
        <w:ind w:firstLine="567"/>
        <w:jc w:val="both"/>
      </w:pPr>
      <w:r w:rsidRPr="000B68B4">
        <w:t>Alterações:</w:t>
      </w:r>
    </w:p>
    <w:p w:rsidR="00420952" w:rsidRPr="000B68B4" w:rsidRDefault="0052124B" w:rsidP="000B68B4">
      <w:pPr>
        <w:pStyle w:val="Corpodetexto"/>
        <w:ind w:firstLine="567"/>
        <w:jc w:val="both"/>
      </w:pPr>
      <w:hyperlink r:id="rId8" w:history="1">
        <w:r w:rsidR="00420952" w:rsidRPr="0052124B">
          <w:rPr>
            <w:rStyle w:val="Hyperlink"/>
          </w:rPr>
          <w:t>Alteração dada pelo Decreto n° 23.346, de 12</w:t>
        </w:r>
        <w:r w:rsidR="00FC2F44" w:rsidRPr="0052124B">
          <w:rPr>
            <w:rStyle w:val="Hyperlink"/>
          </w:rPr>
          <w:t>/11/</w:t>
        </w:r>
        <w:r w:rsidR="00420952" w:rsidRPr="0052124B">
          <w:rPr>
            <w:rStyle w:val="Hyperlink"/>
          </w:rPr>
          <w:t>2018</w:t>
        </w:r>
      </w:hyperlink>
      <w:r w:rsidR="00420952" w:rsidRPr="000B68B4">
        <w:t>.</w:t>
      </w:r>
    </w:p>
    <w:p w:rsidR="00FC2F44" w:rsidRPr="000B68B4" w:rsidRDefault="0052124B" w:rsidP="000B68B4">
      <w:pPr>
        <w:pStyle w:val="Corpodetexto"/>
        <w:ind w:firstLine="567"/>
        <w:jc w:val="both"/>
      </w:pPr>
      <w:hyperlink r:id="rId9" w:history="1">
        <w:r w:rsidR="00FC2F44" w:rsidRPr="0052124B">
          <w:rPr>
            <w:rStyle w:val="Hyperlink"/>
          </w:rPr>
          <w:t>Alteração dada pelo Decreto n° 23.929, de 29/5/2019</w:t>
        </w:r>
      </w:hyperlink>
      <w:r w:rsidR="00FC2F44" w:rsidRPr="000B68B4">
        <w:t>.</w:t>
      </w:r>
    </w:p>
    <w:p w:rsidR="00FC2F44" w:rsidRPr="000B68B4" w:rsidRDefault="0052124B" w:rsidP="000B68B4">
      <w:pPr>
        <w:pStyle w:val="Corpodetexto"/>
        <w:ind w:firstLine="567"/>
        <w:jc w:val="both"/>
      </w:pPr>
      <w:hyperlink r:id="rId10" w:history="1">
        <w:r w:rsidR="00FC2F44" w:rsidRPr="0052124B">
          <w:rPr>
            <w:rStyle w:val="Hyperlink"/>
          </w:rPr>
          <w:t>Alteração dada pelo Decreto n° 24.051, de 12/7/2019</w:t>
        </w:r>
      </w:hyperlink>
      <w:bookmarkStart w:id="0" w:name="_GoBack"/>
      <w:bookmarkEnd w:id="0"/>
      <w:r w:rsidR="00FC2F44" w:rsidRPr="000B68B4">
        <w:t>.</w:t>
      </w:r>
    </w:p>
    <w:p w:rsidR="00BF1031" w:rsidRPr="000B68B4" w:rsidRDefault="00BF1031" w:rsidP="000B68B4">
      <w:pPr>
        <w:pStyle w:val="Corpodetexto"/>
        <w:spacing w:before="5"/>
        <w:ind w:firstLine="567"/>
        <w:jc w:val="both"/>
      </w:pPr>
    </w:p>
    <w:p w:rsidR="00BF1031" w:rsidRPr="000B68B4" w:rsidRDefault="000B68B4" w:rsidP="000B68B4">
      <w:pPr>
        <w:pStyle w:val="Corpodetexto"/>
        <w:spacing w:line="182" w:lineRule="auto"/>
        <w:ind w:left="4536"/>
        <w:jc w:val="both"/>
      </w:pPr>
      <w:r w:rsidRPr="000B68B4">
        <w:t>Estabelece os prazos para o registro dos eventos pelo destinatário de Nota Fiscal eletrônica - NF-e.</w:t>
      </w:r>
    </w:p>
    <w:p w:rsidR="00BF1031" w:rsidRPr="000B68B4" w:rsidRDefault="000B68B4" w:rsidP="000B68B4">
      <w:pPr>
        <w:pStyle w:val="Corpodetexto"/>
        <w:spacing w:before="222" w:line="235" w:lineRule="auto"/>
        <w:ind w:firstLine="567"/>
        <w:jc w:val="both"/>
      </w:pPr>
      <w:r w:rsidRPr="000B68B4">
        <w:t xml:space="preserve">O GOVERNADOR DO </w:t>
      </w:r>
      <w:r w:rsidRPr="000B68B4">
        <w:rPr>
          <w:spacing w:val="-4"/>
        </w:rPr>
        <w:t xml:space="preserve">ESTADO </w:t>
      </w:r>
      <w:r w:rsidRPr="000B68B4">
        <w:t>DE RONDÔNIA, no uso das atribuições que lhe confere  o artigo 65, inciso V da Constituição do Estado,</w:t>
      </w:r>
    </w:p>
    <w:p w:rsidR="00BF1031" w:rsidRPr="000B68B4" w:rsidRDefault="00BF1031" w:rsidP="000B68B4">
      <w:pPr>
        <w:pStyle w:val="Corpodetexto"/>
        <w:spacing w:before="2"/>
        <w:ind w:firstLine="567"/>
        <w:jc w:val="both"/>
      </w:pPr>
    </w:p>
    <w:p w:rsidR="00BF1031" w:rsidRPr="000B68B4" w:rsidRDefault="000B68B4" w:rsidP="000B68B4">
      <w:pPr>
        <w:pStyle w:val="Corpodetexto"/>
        <w:spacing w:before="90"/>
        <w:ind w:firstLine="567"/>
        <w:jc w:val="both"/>
      </w:pPr>
      <w:r w:rsidRPr="000B68B4">
        <w:rPr>
          <w:u w:val="single"/>
        </w:rPr>
        <w:t>D</w:t>
      </w:r>
      <w:r w:rsidRPr="000B68B4">
        <w:t xml:space="preserve"> </w:t>
      </w:r>
      <w:r w:rsidRPr="000B68B4">
        <w:rPr>
          <w:u w:val="single"/>
        </w:rPr>
        <w:t>E</w:t>
      </w:r>
      <w:r w:rsidRPr="000B68B4">
        <w:t xml:space="preserve"> </w:t>
      </w:r>
      <w:r w:rsidRPr="000B68B4">
        <w:rPr>
          <w:u w:val="single"/>
        </w:rPr>
        <w:t>C</w:t>
      </w:r>
      <w:r w:rsidRPr="000B68B4">
        <w:t xml:space="preserve"> </w:t>
      </w:r>
      <w:r w:rsidRPr="000B68B4">
        <w:rPr>
          <w:u w:val="single"/>
        </w:rPr>
        <w:t>R</w:t>
      </w:r>
      <w:r w:rsidRPr="000B68B4">
        <w:t xml:space="preserve"> </w:t>
      </w:r>
      <w:r w:rsidRPr="000B68B4">
        <w:rPr>
          <w:u w:val="single"/>
        </w:rPr>
        <w:t>E</w:t>
      </w:r>
      <w:r w:rsidRPr="000B68B4">
        <w:t xml:space="preserve"> </w:t>
      </w:r>
      <w:r w:rsidRPr="000B68B4">
        <w:rPr>
          <w:u w:val="single"/>
        </w:rPr>
        <w:t>T</w:t>
      </w:r>
      <w:r w:rsidRPr="000B68B4">
        <w:t xml:space="preserve"> </w:t>
      </w:r>
      <w:r w:rsidRPr="000B68B4">
        <w:rPr>
          <w:u w:val="single"/>
        </w:rPr>
        <w:t>A</w:t>
      </w:r>
      <w:r w:rsidRPr="000B68B4">
        <w:t>:</w:t>
      </w:r>
    </w:p>
    <w:p w:rsidR="00BF1031" w:rsidRPr="000B68B4" w:rsidRDefault="00BF1031" w:rsidP="000B68B4">
      <w:pPr>
        <w:pStyle w:val="Corpodetexto"/>
        <w:spacing w:before="4"/>
        <w:ind w:firstLine="567"/>
        <w:jc w:val="both"/>
      </w:pPr>
    </w:p>
    <w:p w:rsidR="00BF1031" w:rsidRPr="000B68B4" w:rsidRDefault="000B68B4" w:rsidP="000B68B4">
      <w:pPr>
        <w:pStyle w:val="Corpodetexto"/>
        <w:spacing w:line="235" w:lineRule="auto"/>
        <w:ind w:firstLine="567"/>
        <w:jc w:val="both"/>
      </w:pPr>
      <w:r w:rsidRPr="000B68B4">
        <w:t>Art. 1º. Ficam estabelecidos os seguintes prazos para o registro dos eventos da NF-e, previstos no inciso II da cláusula décima quinta-B do ajuste SINIEF 7/2005:</w:t>
      </w:r>
    </w:p>
    <w:p w:rsidR="00BF1031" w:rsidRPr="000B68B4" w:rsidRDefault="00BF1031" w:rsidP="000B68B4">
      <w:pPr>
        <w:pStyle w:val="Corpodetexto"/>
        <w:spacing w:before="5"/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4"/>
        </w:numPr>
        <w:tabs>
          <w:tab w:val="left" w:pos="851"/>
        </w:tabs>
        <w:spacing w:line="235" w:lineRule="auto"/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 xml:space="preserve">- a partir de 1º de novembro de 2018, para as notas fiscais eletrônicas - </w:t>
      </w:r>
      <w:r w:rsidRPr="000B68B4">
        <w:rPr>
          <w:spacing w:val="-3"/>
          <w:sz w:val="24"/>
          <w:szCs w:val="24"/>
        </w:rPr>
        <w:t xml:space="preserve">NF-e’s </w:t>
      </w:r>
      <w:r w:rsidRPr="000B68B4">
        <w:rPr>
          <w:sz w:val="24"/>
          <w:szCs w:val="24"/>
        </w:rPr>
        <w:t>com valor total igual ou superior a R$ 100.000,00 (cem mil reais);</w:t>
      </w:r>
    </w:p>
    <w:p w:rsidR="00BF1031" w:rsidRPr="000B68B4" w:rsidRDefault="00BF1031" w:rsidP="000B68B4">
      <w:pPr>
        <w:pStyle w:val="Corpodetexto"/>
        <w:tabs>
          <w:tab w:val="left" w:pos="851"/>
        </w:tabs>
        <w:spacing w:before="5"/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4"/>
        </w:numPr>
        <w:tabs>
          <w:tab w:val="left" w:pos="851"/>
          <w:tab w:val="left" w:pos="1875"/>
        </w:tabs>
        <w:spacing w:line="235" w:lineRule="auto"/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 xml:space="preserve">- a partir de 1º de janeiro de 2019, para as </w:t>
      </w:r>
      <w:r w:rsidRPr="000B68B4">
        <w:rPr>
          <w:spacing w:val="-3"/>
          <w:sz w:val="24"/>
          <w:szCs w:val="24"/>
        </w:rPr>
        <w:t xml:space="preserve">NF-e’s </w:t>
      </w:r>
      <w:r w:rsidRPr="000B68B4">
        <w:rPr>
          <w:sz w:val="24"/>
          <w:szCs w:val="24"/>
        </w:rPr>
        <w:t>com valor total igual ou superior a R$ 50.000,00 (cinquenta mil reais); e</w:t>
      </w:r>
    </w:p>
    <w:p w:rsidR="00BF1031" w:rsidRPr="000B68B4" w:rsidRDefault="00BF1031" w:rsidP="000B68B4">
      <w:pPr>
        <w:pStyle w:val="Corpodetexto"/>
        <w:tabs>
          <w:tab w:val="left" w:pos="851"/>
        </w:tabs>
        <w:spacing w:before="1"/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4"/>
        </w:numPr>
        <w:tabs>
          <w:tab w:val="left" w:pos="851"/>
          <w:tab w:val="left" w:pos="1938"/>
        </w:tabs>
        <w:ind w:left="0" w:firstLine="567"/>
        <w:jc w:val="both"/>
        <w:rPr>
          <w:strike/>
          <w:sz w:val="24"/>
          <w:szCs w:val="24"/>
        </w:rPr>
      </w:pPr>
      <w:r w:rsidRPr="000B68B4">
        <w:rPr>
          <w:strike/>
          <w:sz w:val="24"/>
          <w:szCs w:val="24"/>
        </w:rPr>
        <w:t>- a partir de 1º de abril de 2019, para todas as</w:t>
      </w:r>
      <w:r w:rsidRPr="000B68B4">
        <w:rPr>
          <w:strike/>
          <w:spacing w:val="-3"/>
          <w:sz w:val="24"/>
          <w:szCs w:val="24"/>
        </w:rPr>
        <w:t xml:space="preserve"> </w:t>
      </w:r>
      <w:r w:rsidRPr="000B68B4">
        <w:rPr>
          <w:strike/>
          <w:sz w:val="24"/>
          <w:szCs w:val="24"/>
        </w:rPr>
        <w:t>NF-e’s.</w:t>
      </w:r>
    </w:p>
    <w:p w:rsidR="00980D97" w:rsidRPr="000B68B4" w:rsidRDefault="00980D97" w:rsidP="000B68B4">
      <w:pPr>
        <w:pStyle w:val="PargrafodaLista"/>
        <w:ind w:left="0" w:firstLine="567"/>
        <w:jc w:val="both"/>
        <w:rPr>
          <w:sz w:val="24"/>
          <w:szCs w:val="24"/>
        </w:rPr>
      </w:pP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III - a partir de 1º de julho</w:t>
      </w:r>
      <w:r w:rsidR="00E92CED">
        <w:rPr>
          <w:sz w:val="24"/>
          <w:szCs w:val="24"/>
        </w:rPr>
        <w:t xml:space="preserve"> de 2019, para todas as NF-e’s. </w:t>
      </w:r>
      <w:r w:rsidRPr="000B68B4">
        <w:rPr>
          <w:sz w:val="24"/>
          <w:szCs w:val="24"/>
        </w:rPr>
        <w:t xml:space="preserve">(NR). </w:t>
      </w:r>
      <w:r w:rsidRPr="000B68B4">
        <w:rPr>
          <w:b/>
          <w:sz w:val="24"/>
          <w:szCs w:val="24"/>
        </w:rPr>
        <w:t>(Redação dada pelo Decreto n° 23.929, de 29/5/2019)</w:t>
      </w:r>
    </w:p>
    <w:p w:rsidR="00980D97" w:rsidRPr="000B68B4" w:rsidRDefault="00980D97" w:rsidP="000B68B4">
      <w:pPr>
        <w:tabs>
          <w:tab w:val="left" w:pos="1938"/>
        </w:tabs>
        <w:ind w:firstLine="567"/>
        <w:jc w:val="both"/>
        <w:rPr>
          <w:sz w:val="24"/>
          <w:szCs w:val="24"/>
        </w:rPr>
      </w:pPr>
    </w:p>
    <w:p w:rsidR="00BF1031" w:rsidRPr="000B68B4" w:rsidRDefault="00BF1031" w:rsidP="000B68B4">
      <w:pPr>
        <w:pStyle w:val="Corpodetexto"/>
        <w:spacing w:before="4"/>
        <w:ind w:firstLine="567"/>
        <w:jc w:val="both"/>
      </w:pPr>
    </w:p>
    <w:p w:rsidR="00BF1031" w:rsidRPr="000B68B4" w:rsidRDefault="000B68B4" w:rsidP="000B68B4">
      <w:pPr>
        <w:pStyle w:val="Corpodetexto"/>
        <w:spacing w:line="235" w:lineRule="auto"/>
        <w:ind w:firstLine="567"/>
        <w:jc w:val="both"/>
      </w:pPr>
      <w:r w:rsidRPr="000B68B4">
        <w:t>Art. 2º. Independentemente dos prazos estabelecidos no artigo 1º, os eventos registrados anteriormente a estes prazos serão considerados válidos para todos os fins.</w:t>
      </w:r>
    </w:p>
    <w:p w:rsidR="00BF1031" w:rsidRPr="000B68B4" w:rsidRDefault="00BF1031" w:rsidP="000B68B4">
      <w:pPr>
        <w:pStyle w:val="Corpodetexto"/>
        <w:spacing w:before="5"/>
        <w:ind w:firstLine="567"/>
        <w:jc w:val="both"/>
      </w:pPr>
    </w:p>
    <w:p w:rsidR="00BF1031" w:rsidRPr="000B68B4" w:rsidRDefault="000B68B4" w:rsidP="000B68B4">
      <w:pPr>
        <w:pStyle w:val="Corpodetexto"/>
        <w:spacing w:line="235" w:lineRule="auto"/>
        <w:ind w:firstLine="567"/>
        <w:jc w:val="both"/>
      </w:pPr>
      <w:r w:rsidRPr="000B68B4">
        <w:t>Art. 3º. O registro dos eventos de que trata este Decreto deverá ser realizado nos seguintes prazos, contados da data de autorização da NF-e:</w:t>
      </w:r>
    </w:p>
    <w:p w:rsidR="00BF1031" w:rsidRPr="000B68B4" w:rsidRDefault="00BF1031" w:rsidP="000B68B4">
      <w:pPr>
        <w:pStyle w:val="Corpodetexto"/>
        <w:spacing w:before="1"/>
        <w:ind w:firstLine="567"/>
        <w:jc w:val="both"/>
      </w:pPr>
    </w:p>
    <w:p w:rsidR="00BF1031" w:rsidRPr="000B68B4" w:rsidRDefault="000B68B4" w:rsidP="000B68B4">
      <w:pPr>
        <w:pStyle w:val="Corpodetexto"/>
        <w:ind w:firstLine="567"/>
        <w:jc w:val="both"/>
      </w:pPr>
      <w:r w:rsidRPr="000B68B4">
        <w:t>I - em caso de operações internas:</w:t>
      </w:r>
    </w:p>
    <w:p w:rsidR="00BF1031" w:rsidRPr="000B68B4" w:rsidRDefault="00BF1031" w:rsidP="000B68B4">
      <w:pPr>
        <w:pStyle w:val="Corpodetexto"/>
        <w:spacing w:before="11"/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confirmação da operação, em até 20 (vinte) dias;</w:t>
      </w:r>
    </w:p>
    <w:p w:rsidR="00BF1031" w:rsidRPr="000B68B4" w:rsidRDefault="00BF1031" w:rsidP="000B68B4">
      <w:pPr>
        <w:pStyle w:val="Corpodetexto"/>
        <w:tabs>
          <w:tab w:val="left" w:pos="851"/>
        </w:tabs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operação não realizada, em até 20 (vinte) dias; e</w:t>
      </w:r>
    </w:p>
    <w:p w:rsidR="00BF1031" w:rsidRPr="000B68B4" w:rsidRDefault="00BF1031" w:rsidP="000B68B4">
      <w:pPr>
        <w:pStyle w:val="Corpodetexto"/>
        <w:tabs>
          <w:tab w:val="left" w:pos="851"/>
        </w:tabs>
        <w:spacing w:before="11"/>
        <w:ind w:firstLine="567"/>
        <w:jc w:val="both"/>
      </w:pPr>
    </w:p>
    <w:p w:rsidR="000B68B4" w:rsidRPr="000B68B4" w:rsidRDefault="000B68B4" w:rsidP="000B68B4">
      <w:pPr>
        <w:pStyle w:val="PargrafodaLista"/>
        <w:numPr>
          <w:ilvl w:val="0"/>
          <w:numId w:val="3"/>
        </w:numPr>
        <w:tabs>
          <w:tab w:val="left" w:pos="851"/>
        </w:tabs>
        <w:spacing w:line="470" w:lineRule="auto"/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 xml:space="preserve">desconhecimento da operação, em até 10 (dez) </w:t>
      </w:r>
      <w:r w:rsidRPr="000B68B4">
        <w:rPr>
          <w:spacing w:val="-3"/>
          <w:sz w:val="24"/>
          <w:szCs w:val="24"/>
        </w:rPr>
        <w:t xml:space="preserve">dias; </w:t>
      </w:r>
    </w:p>
    <w:p w:rsidR="000B68B4" w:rsidRPr="000B68B4" w:rsidRDefault="000B68B4" w:rsidP="000B68B4">
      <w:pPr>
        <w:pStyle w:val="PargrafodaLista"/>
        <w:rPr>
          <w:sz w:val="24"/>
          <w:szCs w:val="24"/>
        </w:rPr>
      </w:pPr>
    </w:p>
    <w:p w:rsidR="00BF1031" w:rsidRPr="000B68B4" w:rsidRDefault="000B68B4" w:rsidP="000B68B4">
      <w:pPr>
        <w:pStyle w:val="PargrafodaLista"/>
        <w:numPr>
          <w:ilvl w:val="0"/>
          <w:numId w:val="3"/>
        </w:numPr>
        <w:tabs>
          <w:tab w:val="left" w:pos="851"/>
        </w:tabs>
        <w:spacing w:line="470" w:lineRule="auto"/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II - em caso de operações interestaduais:</w:t>
      </w:r>
    </w:p>
    <w:p w:rsidR="00BF1031" w:rsidRPr="000B68B4" w:rsidRDefault="000B68B4" w:rsidP="000B68B4">
      <w:pPr>
        <w:pStyle w:val="PargrafodaLista"/>
        <w:numPr>
          <w:ilvl w:val="0"/>
          <w:numId w:val="2"/>
        </w:numPr>
        <w:tabs>
          <w:tab w:val="left" w:pos="851"/>
        </w:tabs>
        <w:spacing w:line="275" w:lineRule="exact"/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confirmação da operação, em até 35 (trinta e cinco) dias;</w:t>
      </w:r>
    </w:p>
    <w:p w:rsidR="00BF1031" w:rsidRPr="000B68B4" w:rsidRDefault="00BF1031" w:rsidP="000B68B4">
      <w:pPr>
        <w:pStyle w:val="Corpodetexto"/>
        <w:tabs>
          <w:tab w:val="left" w:pos="851"/>
        </w:tabs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operação não realizada, em até 35 (trinta e cinco) dias; e</w:t>
      </w:r>
    </w:p>
    <w:p w:rsidR="00BF1031" w:rsidRPr="000B68B4" w:rsidRDefault="00BF1031" w:rsidP="000B68B4">
      <w:pPr>
        <w:pStyle w:val="Corpodetexto"/>
        <w:tabs>
          <w:tab w:val="left" w:pos="851"/>
        </w:tabs>
        <w:spacing w:before="11"/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desconhecimento da operação, em até 15 (quinze) dias;</w:t>
      </w:r>
    </w:p>
    <w:p w:rsidR="00BF1031" w:rsidRPr="000B68B4" w:rsidRDefault="00BF1031" w:rsidP="000B68B4">
      <w:pPr>
        <w:pStyle w:val="Corpodetexto"/>
        <w:tabs>
          <w:tab w:val="left" w:pos="851"/>
        </w:tabs>
        <w:ind w:firstLine="567"/>
        <w:jc w:val="both"/>
      </w:pPr>
    </w:p>
    <w:p w:rsidR="00BF1031" w:rsidRPr="000B68B4" w:rsidRDefault="000B68B4" w:rsidP="000B68B4">
      <w:pPr>
        <w:pStyle w:val="Corpodetexto"/>
        <w:ind w:firstLine="567"/>
        <w:jc w:val="both"/>
      </w:pPr>
      <w:r w:rsidRPr="000B68B4">
        <w:t>III - em caso de operações interestaduais destinadas à área incentivada:</w:t>
      </w:r>
    </w:p>
    <w:p w:rsidR="00980D97" w:rsidRPr="000B68B4" w:rsidRDefault="00980D97" w:rsidP="000B68B4">
      <w:pPr>
        <w:pStyle w:val="Corpodetexto"/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1"/>
        </w:numPr>
        <w:tabs>
          <w:tab w:val="left" w:pos="851"/>
        </w:tabs>
        <w:spacing w:before="80"/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confirmação da operação, em até 70 (setenta) dias;</w:t>
      </w:r>
    </w:p>
    <w:p w:rsidR="00BF1031" w:rsidRPr="000B68B4" w:rsidRDefault="00BF1031" w:rsidP="000B68B4">
      <w:pPr>
        <w:pStyle w:val="Corpodetexto"/>
        <w:tabs>
          <w:tab w:val="left" w:pos="851"/>
        </w:tabs>
        <w:spacing w:before="11"/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operação não realizada, em até 70 (setenta) dias; e</w:t>
      </w:r>
    </w:p>
    <w:p w:rsidR="00BF1031" w:rsidRPr="000B68B4" w:rsidRDefault="00BF1031" w:rsidP="000B68B4">
      <w:pPr>
        <w:pStyle w:val="Corpodetexto"/>
        <w:tabs>
          <w:tab w:val="left" w:pos="851"/>
        </w:tabs>
        <w:spacing w:before="11"/>
        <w:ind w:firstLine="567"/>
        <w:jc w:val="both"/>
      </w:pPr>
    </w:p>
    <w:p w:rsidR="00BF1031" w:rsidRPr="000B68B4" w:rsidRDefault="000B68B4" w:rsidP="000B68B4">
      <w:pPr>
        <w:pStyle w:val="PargrafodaList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>desconhecimento da operação, em até 15 (quinze) dias.</w:t>
      </w:r>
    </w:p>
    <w:p w:rsidR="00980D97" w:rsidRPr="000B68B4" w:rsidRDefault="00980D97" w:rsidP="000B68B4">
      <w:pPr>
        <w:pStyle w:val="PargrafodaLista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 xml:space="preserve">Art. 3º-A. A obrigatoriedade prevista neste Decreto não se aplica: </w:t>
      </w:r>
      <w:r w:rsidRPr="000B68B4">
        <w:rPr>
          <w:b/>
          <w:sz w:val="24"/>
          <w:szCs w:val="24"/>
        </w:rPr>
        <w:t>(Artigo acrescido pelo Decreto n° 23.346, de 12/11/2018)</w:t>
      </w: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 xml:space="preserve">I - Às pessoas físicas e jurídicas não contribuintes do ICMS; </w:t>
      </w:r>
      <w:r w:rsidRPr="000B68B4">
        <w:rPr>
          <w:b/>
          <w:sz w:val="24"/>
          <w:szCs w:val="24"/>
        </w:rPr>
        <w:t>(Inciso acrescido pelo Decreto n° 23.346, de 12/11/2018)</w:t>
      </w: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 xml:space="preserve">II - Aos contribuintes inscritos como microempreendedores individuais (MEI); </w:t>
      </w:r>
      <w:r w:rsidRPr="000B68B4">
        <w:rPr>
          <w:b/>
          <w:sz w:val="24"/>
          <w:szCs w:val="24"/>
        </w:rPr>
        <w:t>(Inciso acrescido pelo Decreto n° 23.346, de 12/11/2018)</w:t>
      </w: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b/>
          <w:sz w:val="24"/>
          <w:szCs w:val="24"/>
        </w:rPr>
      </w:pPr>
      <w:r w:rsidRPr="000B68B4">
        <w:rPr>
          <w:sz w:val="24"/>
          <w:szCs w:val="24"/>
        </w:rPr>
        <w:t>III - Aos contribuintes in</w:t>
      </w:r>
      <w:r w:rsidR="00E92CED">
        <w:rPr>
          <w:sz w:val="24"/>
          <w:szCs w:val="24"/>
        </w:rPr>
        <w:t>scritos como produtores rurais;</w:t>
      </w:r>
      <w:r w:rsidR="000B68B4" w:rsidRPr="000B68B4">
        <w:rPr>
          <w:sz w:val="24"/>
          <w:szCs w:val="24"/>
        </w:rPr>
        <w:t xml:space="preserve"> </w:t>
      </w:r>
      <w:r w:rsidRPr="000B68B4">
        <w:rPr>
          <w:sz w:val="24"/>
          <w:szCs w:val="24"/>
        </w:rPr>
        <w:t>(NR)</w:t>
      </w:r>
      <w:r w:rsidRPr="000B68B4">
        <w:rPr>
          <w:b/>
          <w:sz w:val="24"/>
          <w:szCs w:val="24"/>
        </w:rPr>
        <w:t xml:space="preserve"> (Inciso acrescido pelo Decreto n° 23.346, de 12/11/2018)</w:t>
      </w: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b/>
          <w:sz w:val="24"/>
          <w:szCs w:val="24"/>
        </w:rPr>
      </w:pP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  <w:r w:rsidRPr="000B68B4">
        <w:rPr>
          <w:sz w:val="24"/>
          <w:szCs w:val="24"/>
        </w:rPr>
        <w:t xml:space="preserve">IV - Às notas fiscais de entrada, quando </w:t>
      </w:r>
      <w:r w:rsidR="00E92CED">
        <w:rPr>
          <w:sz w:val="24"/>
          <w:szCs w:val="24"/>
        </w:rPr>
        <w:t>emitidas pela própria empresa;</w:t>
      </w:r>
      <w:r w:rsidRPr="000B68B4">
        <w:rPr>
          <w:sz w:val="24"/>
          <w:szCs w:val="24"/>
        </w:rPr>
        <w:t xml:space="preserve"> </w:t>
      </w:r>
      <w:r w:rsidRPr="000B68B4">
        <w:rPr>
          <w:b/>
          <w:sz w:val="24"/>
          <w:szCs w:val="24"/>
        </w:rPr>
        <w:t>(Inciso acrescido pelo Decreto n° 2</w:t>
      </w:r>
      <w:r w:rsidR="00FC2F44" w:rsidRPr="000B68B4">
        <w:rPr>
          <w:b/>
          <w:sz w:val="24"/>
          <w:szCs w:val="24"/>
        </w:rPr>
        <w:t>3.929, de 29/5/2019</w:t>
      </w:r>
      <w:r w:rsidRPr="000B68B4">
        <w:rPr>
          <w:b/>
          <w:sz w:val="24"/>
          <w:szCs w:val="24"/>
        </w:rPr>
        <w:t>)</w:t>
      </w: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</w:p>
    <w:p w:rsidR="00980D97" w:rsidRPr="000B68B4" w:rsidRDefault="00980D97" w:rsidP="000B68B4">
      <w:pPr>
        <w:tabs>
          <w:tab w:val="left" w:pos="1885"/>
        </w:tabs>
        <w:ind w:firstLine="567"/>
        <w:jc w:val="both"/>
        <w:rPr>
          <w:b/>
          <w:sz w:val="24"/>
          <w:szCs w:val="24"/>
        </w:rPr>
      </w:pPr>
      <w:r w:rsidRPr="000B68B4">
        <w:rPr>
          <w:sz w:val="24"/>
          <w:szCs w:val="24"/>
        </w:rPr>
        <w:t>V - Às notas fiscais de ajuste, assim entendidas aquelas cujo campo “finNFe" (Finalidade de emissão da NF-e) es</w:t>
      </w:r>
      <w:r w:rsidR="00E92CED">
        <w:rPr>
          <w:sz w:val="24"/>
          <w:szCs w:val="24"/>
        </w:rPr>
        <w:t>tiver preenchido com o código 2;</w:t>
      </w:r>
      <w:r w:rsidRPr="000B68B4">
        <w:rPr>
          <w:sz w:val="24"/>
          <w:szCs w:val="24"/>
        </w:rPr>
        <w:t xml:space="preserve"> </w:t>
      </w:r>
      <w:r w:rsidRPr="000B68B4">
        <w:rPr>
          <w:b/>
          <w:sz w:val="24"/>
          <w:szCs w:val="24"/>
        </w:rPr>
        <w:t>(Inciso acrescido pelo Decreto n°</w:t>
      </w:r>
      <w:r w:rsidR="00FC2F44" w:rsidRPr="000B68B4">
        <w:rPr>
          <w:b/>
          <w:sz w:val="24"/>
          <w:szCs w:val="24"/>
        </w:rPr>
        <w:t xml:space="preserve"> 23.929, de 29/5/2019</w:t>
      </w:r>
      <w:r w:rsidRPr="000B68B4">
        <w:rPr>
          <w:b/>
          <w:sz w:val="24"/>
          <w:szCs w:val="24"/>
        </w:rPr>
        <w:t>)</w:t>
      </w:r>
    </w:p>
    <w:p w:rsidR="00FC2F44" w:rsidRPr="000B68B4" w:rsidRDefault="00FC2F44" w:rsidP="000B68B4">
      <w:pPr>
        <w:tabs>
          <w:tab w:val="left" w:pos="1885"/>
        </w:tabs>
        <w:ind w:firstLine="567"/>
        <w:jc w:val="both"/>
        <w:rPr>
          <w:b/>
          <w:sz w:val="24"/>
          <w:szCs w:val="24"/>
        </w:rPr>
      </w:pPr>
    </w:p>
    <w:p w:rsidR="00FC2F44" w:rsidRPr="000B68B4" w:rsidRDefault="00FC2F44" w:rsidP="000B68B4">
      <w:pPr>
        <w:tabs>
          <w:tab w:val="left" w:pos="1885"/>
        </w:tabs>
        <w:ind w:firstLine="567"/>
        <w:jc w:val="both"/>
        <w:rPr>
          <w:sz w:val="24"/>
          <w:szCs w:val="24"/>
        </w:rPr>
      </w:pPr>
      <w:r w:rsidRPr="000B68B4">
        <w:rPr>
          <w:rFonts w:eastAsiaTheme="minorHAnsi"/>
          <w:sz w:val="24"/>
          <w:szCs w:val="24"/>
          <w:lang w:val="pt-BR" w:eastAsia="en-US" w:bidi="ar-SA"/>
        </w:rPr>
        <w:t xml:space="preserve">VI - às notas fiscais com valor total inferior a R$ 10.000,00 (dez mil reais). </w:t>
      </w:r>
      <w:r w:rsidRPr="000B68B4">
        <w:rPr>
          <w:b/>
          <w:sz w:val="24"/>
          <w:szCs w:val="24"/>
        </w:rPr>
        <w:t>(Inciso acrescido pelo Decreto n° 24.051, de 12/7/2019)</w:t>
      </w:r>
    </w:p>
    <w:p w:rsidR="00BF1031" w:rsidRPr="000B68B4" w:rsidRDefault="00BF1031" w:rsidP="000B68B4">
      <w:pPr>
        <w:pStyle w:val="Corpodetexto"/>
        <w:ind w:firstLine="567"/>
        <w:jc w:val="both"/>
      </w:pPr>
    </w:p>
    <w:p w:rsidR="00BF1031" w:rsidRPr="000B68B4" w:rsidRDefault="000B68B4" w:rsidP="000B68B4">
      <w:pPr>
        <w:pStyle w:val="Corpodetexto"/>
        <w:ind w:firstLine="567"/>
        <w:jc w:val="both"/>
      </w:pPr>
      <w:r w:rsidRPr="000B68B4">
        <w:t>Art. 4º. Este Decreto entra em vigor na data de sua publicação.</w:t>
      </w:r>
    </w:p>
    <w:p w:rsidR="00BF1031" w:rsidRPr="000B68B4" w:rsidRDefault="00BF1031" w:rsidP="000B68B4">
      <w:pPr>
        <w:pStyle w:val="Corpodetexto"/>
        <w:spacing w:before="2"/>
        <w:ind w:firstLine="567"/>
        <w:jc w:val="both"/>
      </w:pPr>
    </w:p>
    <w:p w:rsidR="00BF1031" w:rsidRPr="000B68B4" w:rsidRDefault="000B68B4" w:rsidP="000B68B4">
      <w:pPr>
        <w:pStyle w:val="Corpodetexto"/>
        <w:spacing w:before="90" w:line="273" w:lineRule="exact"/>
        <w:ind w:firstLine="567"/>
        <w:jc w:val="both"/>
      </w:pPr>
      <w:r w:rsidRPr="000B68B4">
        <w:t>Palácio do Governo do Estado de Rondônia, em 11 de outubro de 2018, 130º da</w:t>
      </w:r>
      <w:r>
        <w:t xml:space="preserve"> </w:t>
      </w:r>
      <w:r w:rsidRPr="000B68B4">
        <w:t>República.</w:t>
      </w:r>
    </w:p>
    <w:p w:rsidR="00BF1031" w:rsidRPr="000B68B4" w:rsidRDefault="00BF1031" w:rsidP="000B68B4">
      <w:pPr>
        <w:pStyle w:val="Corpodetexto"/>
        <w:ind w:firstLine="567"/>
        <w:jc w:val="both"/>
      </w:pPr>
    </w:p>
    <w:p w:rsidR="00BF1031" w:rsidRPr="000B68B4" w:rsidRDefault="00BF1031" w:rsidP="000B68B4">
      <w:pPr>
        <w:pStyle w:val="Corpodetexto"/>
        <w:ind w:firstLine="567"/>
        <w:jc w:val="both"/>
      </w:pPr>
    </w:p>
    <w:p w:rsidR="00BF1031" w:rsidRPr="000B68B4" w:rsidRDefault="00BF1031" w:rsidP="000B68B4">
      <w:pPr>
        <w:pStyle w:val="Corpodetexto"/>
        <w:spacing w:before="10"/>
        <w:ind w:firstLine="567"/>
        <w:jc w:val="both"/>
      </w:pPr>
    </w:p>
    <w:p w:rsidR="00BF1031" w:rsidRPr="000B68B4" w:rsidRDefault="000B68B4" w:rsidP="000B68B4">
      <w:pPr>
        <w:pStyle w:val="Ttulo1"/>
        <w:spacing w:before="0"/>
        <w:ind w:right="0"/>
      </w:pPr>
      <w:r w:rsidRPr="000B68B4">
        <w:t>DANIEL PEREIRA</w:t>
      </w:r>
    </w:p>
    <w:p w:rsidR="00BF1031" w:rsidRPr="000B68B4" w:rsidRDefault="000B68B4" w:rsidP="000B68B4">
      <w:pPr>
        <w:pStyle w:val="Corpodetexto"/>
        <w:jc w:val="center"/>
      </w:pPr>
      <w:r w:rsidRPr="000B68B4">
        <w:t>Governador</w:t>
      </w:r>
    </w:p>
    <w:sectPr w:rsidR="00BF1031" w:rsidRPr="000B68B4">
      <w:footerReference w:type="default" r:id="rId11"/>
      <w:pgSz w:w="11900" w:h="16840"/>
      <w:pgMar w:top="480" w:right="560" w:bottom="480" w:left="60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29" w:rsidRDefault="000B68B4">
      <w:r>
        <w:separator/>
      </w:r>
    </w:p>
  </w:endnote>
  <w:endnote w:type="continuationSeparator" w:id="0">
    <w:p w:rsidR="006E3429" w:rsidRDefault="000B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31" w:rsidRDefault="00BF103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29" w:rsidRDefault="000B68B4">
      <w:r>
        <w:separator/>
      </w:r>
    </w:p>
  </w:footnote>
  <w:footnote w:type="continuationSeparator" w:id="0">
    <w:p w:rsidR="006E3429" w:rsidRDefault="000B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D580B"/>
    <w:multiLevelType w:val="hybridMultilevel"/>
    <w:tmpl w:val="E21609EC"/>
    <w:lvl w:ilvl="0" w:tplc="EBF6C05C">
      <w:start w:val="1"/>
      <w:numFmt w:val="lowerLetter"/>
      <w:lvlText w:val="%1)"/>
      <w:lvlJc w:val="left"/>
      <w:pPr>
        <w:ind w:left="1884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3C1E951E">
      <w:numFmt w:val="bullet"/>
      <w:lvlText w:val="•"/>
      <w:lvlJc w:val="left"/>
      <w:pPr>
        <w:ind w:left="2765" w:hanging="247"/>
      </w:pPr>
      <w:rPr>
        <w:rFonts w:hint="default"/>
        <w:lang w:val="pt-PT" w:eastAsia="pt-PT" w:bidi="pt-PT"/>
      </w:rPr>
    </w:lvl>
    <w:lvl w:ilvl="2" w:tplc="481248F0">
      <w:numFmt w:val="bullet"/>
      <w:lvlText w:val="•"/>
      <w:lvlJc w:val="left"/>
      <w:pPr>
        <w:ind w:left="3651" w:hanging="247"/>
      </w:pPr>
      <w:rPr>
        <w:rFonts w:hint="default"/>
        <w:lang w:val="pt-PT" w:eastAsia="pt-PT" w:bidi="pt-PT"/>
      </w:rPr>
    </w:lvl>
    <w:lvl w:ilvl="3" w:tplc="6F46707A">
      <w:numFmt w:val="bullet"/>
      <w:lvlText w:val="•"/>
      <w:lvlJc w:val="left"/>
      <w:pPr>
        <w:ind w:left="4537" w:hanging="247"/>
      </w:pPr>
      <w:rPr>
        <w:rFonts w:hint="default"/>
        <w:lang w:val="pt-PT" w:eastAsia="pt-PT" w:bidi="pt-PT"/>
      </w:rPr>
    </w:lvl>
    <w:lvl w:ilvl="4" w:tplc="5A1436A2">
      <w:numFmt w:val="bullet"/>
      <w:lvlText w:val="•"/>
      <w:lvlJc w:val="left"/>
      <w:pPr>
        <w:ind w:left="5423" w:hanging="247"/>
      </w:pPr>
      <w:rPr>
        <w:rFonts w:hint="default"/>
        <w:lang w:val="pt-PT" w:eastAsia="pt-PT" w:bidi="pt-PT"/>
      </w:rPr>
    </w:lvl>
    <w:lvl w:ilvl="5" w:tplc="520623B2">
      <w:numFmt w:val="bullet"/>
      <w:lvlText w:val="•"/>
      <w:lvlJc w:val="left"/>
      <w:pPr>
        <w:ind w:left="6309" w:hanging="247"/>
      </w:pPr>
      <w:rPr>
        <w:rFonts w:hint="default"/>
        <w:lang w:val="pt-PT" w:eastAsia="pt-PT" w:bidi="pt-PT"/>
      </w:rPr>
    </w:lvl>
    <w:lvl w:ilvl="6" w:tplc="A85C6FE0">
      <w:numFmt w:val="bullet"/>
      <w:lvlText w:val="•"/>
      <w:lvlJc w:val="left"/>
      <w:pPr>
        <w:ind w:left="7195" w:hanging="247"/>
      </w:pPr>
      <w:rPr>
        <w:rFonts w:hint="default"/>
        <w:lang w:val="pt-PT" w:eastAsia="pt-PT" w:bidi="pt-PT"/>
      </w:rPr>
    </w:lvl>
    <w:lvl w:ilvl="7" w:tplc="82823A34">
      <w:numFmt w:val="bullet"/>
      <w:lvlText w:val="•"/>
      <w:lvlJc w:val="left"/>
      <w:pPr>
        <w:ind w:left="8081" w:hanging="247"/>
      </w:pPr>
      <w:rPr>
        <w:rFonts w:hint="default"/>
        <w:lang w:val="pt-PT" w:eastAsia="pt-PT" w:bidi="pt-PT"/>
      </w:rPr>
    </w:lvl>
    <w:lvl w:ilvl="8" w:tplc="3830F940">
      <w:numFmt w:val="bullet"/>
      <w:lvlText w:val="•"/>
      <w:lvlJc w:val="left"/>
      <w:pPr>
        <w:ind w:left="8967" w:hanging="247"/>
      </w:pPr>
      <w:rPr>
        <w:rFonts w:hint="default"/>
        <w:lang w:val="pt-PT" w:eastAsia="pt-PT" w:bidi="pt-PT"/>
      </w:rPr>
    </w:lvl>
  </w:abstractNum>
  <w:abstractNum w:abstractNumId="1" w15:restartNumberingAfterBreak="0">
    <w:nsid w:val="426A1FF6"/>
    <w:multiLevelType w:val="hybridMultilevel"/>
    <w:tmpl w:val="C3645018"/>
    <w:lvl w:ilvl="0" w:tplc="0E647B72">
      <w:start w:val="1"/>
      <w:numFmt w:val="lowerLetter"/>
      <w:lvlText w:val="%1)"/>
      <w:lvlJc w:val="left"/>
      <w:pPr>
        <w:ind w:left="1884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5AC4A338">
      <w:numFmt w:val="bullet"/>
      <w:lvlText w:val="•"/>
      <w:lvlJc w:val="left"/>
      <w:pPr>
        <w:ind w:left="2765" w:hanging="247"/>
      </w:pPr>
      <w:rPr>
        <w:rFonts w:hint="default"/>
        <w:lang w:val="pt-PT" w:eastAsia="pt-PT" w:bidi="pt-PT"/>
      </w:rPr>
    </w:lvl>
    <w:lvl w:ilvl="2" w:tplc="3D72C8C6">
      <w:numFmt w:val="bullet"/>
      <w:lvlText w:val="•"/>
      <w:lvlJc w:val="left"/>
      <w:pPr>
        <w:ind w:left="3651" w:hanging="247"/>
      </w:pPr>
      <w:rPr>
        <w:rFonts w:hint="default"/>
        <w:lang w:val="pt-PT" w:eastAsia="pt-PT" w:bidi="pt-PT"/>
      </w:rPr>
    </w:lvl>
    <w:lvl w:ilvl="3" w:tplc="F7F87D68">
      <w:numFmt w:val="bullet"/>
      <w:lvlText w:val="•"/>
      <w:lvlJc w:val="left"/>
      <w:pPr>
        <w:ind w:left="4537" w:hanging="247"/>
      </w:pPr>
      <w:rPr>
        <w:rFonts w:hint="default"/>
        <w:lang w:val="pt-PT" w:eastAsia="pt-PT" w:bidi="pt-PT"/>
      </w:rPr>
    </w:lvl>
    <w:lvl w:ilvl="4" w:tplc="73FA96F4">
      <w:numFmt w:val="bullet"/>
      <w:lvlText w:val="•"/>
      <w:lvlJc w:val="left"/>
      <w:pPr>
        <w:ind w:left="5423" w:hanging="247"/>
      </w:pPr>
      <w:rPr>
        <w:rFonts w:hint="default"/>
        <w:lang w:val="pt-PT" w:eastAsia="pt-PT" w:bidi="pt-PT"/>
      </w:rPr>
    </w:lvl>
    <w:lvl w:ilvl="5" w:tplc="8C960054">
      <w:numFmt w:val="bullet"/>
      <w:lvlText w:val="•"/>
      <w:lvlJc w:val="left"/>
      <w:pPr>
        <w:ind w:left="6309" w:hanging="247"/>
      </w:pPr>
      <w:rPr>
        <w:rFonts w:hint="default"/>
        <w:lang w:val="pt-PT" w:eastAsia="pt-PT" w:bidi="pt-PT"/>
      </w:rPr>
    </w:lvl>
    <w:lvl w:ilvl="6" w:tplc="06A6474E">
      <w:numFmt w:val="bullet"/>
      <w:lvlText w:val="•"/>
      <w:lvlJc w:val="left"/>
      <w:pPr>
        <w:ind w:left="7195" w:hanging="247"/>
      </w:pPr>
      <w:rPr>
        <w:rFonts w:hint="default"/>
        <w:lang w:val="pt-PT" w:eastAsia="pt-PT" w:bidi="pt-PT"/>
      </w:rPr>
    </w:lvl>
    <w:lvl w:ilvl="7" w:tplc="DFCC4A50">
      <w:numFmt w:val="bullet"/>
      <w:lvlText w:val="•"/>
      <w:lvlJc w:val="left"/>
      <w:pPr>
        <w:ind w:left="8081" w:hanging="247"/>
      </w:pPr>
      <w:rPr>
        <w:rFonts w:hint="default"/>
        <w:lang w:val="pt-PT" w:eastAsia="pt-PT" w:bidi="pt-PT"/>
      </w:rPr>
    </w:lvl>
    <w:lvl w:ilvl="8" w:tplc="4E9049F4">
      <w:numFmt w:val="bullet"/>
      <w:lvlText w:val="•"/>
      <w:lvlJc w:val="left"/>
      <w:pPr>
        <w:ind w:left="8967" w:hanging="247"/>
      </w:pPr>
      <w:rPr>
        <w:rFonts w:hint="default"/>
        <w:lang w:val="pt-PT" w:eastAsia="pt-PT" w:bidi="pt-PT"/>
      </w:rPr>
    </w:lvl>
  </w:abstractNum>
  <w:abstractNum w:abstractNumId="2" w15:restartNumberingAfterBreak="0">
    <w:nsid w:val="42E21855"/>
    <w:multiLevelType w:val="hybridMultilevel"/>
    <w:tmpl w:val="3168C494"/>
    <w:lvl w:ilvl="0" w:tplc="0E58A8A0">
      <w:start w:val="1"/>
      <w:numFmt w:val="lowerLetter"/>
      <w:lvlText w:val="%1)"/>
      <w:lvlJc w:val="left"/>
      <w:pPr>
        <w:ind w:left="1884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8FCC14B4">
      <w:numFmt w:val="bullet"/>
      <w:lvlText w:val="•"/>
      <w:lvlJc w:val="left"/>
      <w:pPr>
        <w:ind w:left="2765" w:hanging="247"/>
      </w:pPr>
      <w:rPr>
        <w:rFonts w:hint="default"/>
        <w:lang w:val="pt-PT" w:eastAsia="pt-PT" w:bidi="pt-PT"/>
      </w:rPr>
    </w:lvl>
    <w:lvl w:ilvl="2" w:tplc="B9EC327A">
      <w:numFmt w:val="bullet"/>
      <w:lvlText w:val="•"/>
      <w:lvlJc w:val="left"/>
      <w:pPr>
        <w:ind w:left="3651" w:hanging="247"/>
      </w:pPr>
      <w:rPr>
        <w:rFonts w:hint="default"/>
        <w:lang w:val="pt-PT" w:eastAsia="pt-PT" w:bidi="pt-PT"/>
      </w:rPr>
    </w:lvl>
    <w:lvl w:ilvl="3" w:tplc="FFC48DCA">
      <w:numFmt w:val="bullet"/>
      <w:lvlText w:val="•"/>
      <w:lvlJc w:val="left"/>
      <w:pPr>
        <w:ind w:left="4537" w:hanging="247"/>
      </w:pPr>
      <w:rPr>
        <w:rFonts w:hint="default"/>
        <w:lang w:val="pt-PT" w:eastAsia="pt-PT" w:bidi="pt-PT"/>
      </w:rPr>
    </w:lvl>
    <w:lvl w:ilvl="4" w:tplc="DF9CE0EC">
      <w:numFmt w:val="bullet"/>
      <w:lvlText w:val="•"/>
      <w:lvlJc w:val="left"/>
      <w:pPr>
        <w:ind w:left="5423" w:hanging="247"/>
      </w:pPr>
      <w:rPr>
        <w:rFonts w:hint="default"/>
        <w:lang w:val="pt-PT" w:eastAsia="pt-PT" w:bidi="pt-PT"/>
      </w:rPr>
    </w:lvl>
    <w:lvl w:ilvl="5" w:tplc="684CACD4">
      <w:numFmt w:val="bullet"/>
      <w:lvlText w:val="•"/>
      <w:lvlJc w:val="left"/>
      <w:pPr>
        <w:ind w:left="6309" w:hanging="247"/>
      </w:pPr>
      <w:rPr>
        <w:rFonts w:hint="default"/>
        <w:lang w:val="pt-PT" w:eastAsia="pt-PT" w:bidi="pt-PT"/>
      </w:rPr>
    </w:lvl>
    <w:lvl w:ilvl="6" w:tplc="C4AEEA7A">
      <w:numFmt w:val="bullet"/>
      <w:lvlText w:val="•"/>
      <w:lvlJc w:val="left"/>
      <w:pPr>
        <w:ind w:left="7195" w:hanging="247"/>
      </w:pPr>
      <w:rPr>
        <w:rFonts w:hint="default"/>
        <w:lang w:val="pt-PT" w:eastAsia="pt-PT" w:bidi="pt-PT"/>
      </w:rPr>
    </w:lvl>
    <w:lvl w:ilvl="7" w:tplc="D4DA3C0E">
      <w:numFmt w:val="bullet"/>
      <w:lvlText w:val="•"/>
      <w:lvlJc w:val="left"/>
      <w:pPr>
        <w:ind w:left="8081" w:hanging="247"/>
      </w:pPr>
      <w:rPr>
        <w:rFonts w:hint="default"/>
        <w:lang w:val="pt-PT" w:eastAsia="pt-PT" w:bidi="pt-PT"/>
      </w:rPr>
    </w:lvl>
    <w:lvl w:ilvl="8" w:tplc="779C136C">
      <w:numFmt w:val="bullet"/>
      <w:lvlText w:val="•"/>
      <w:lvlJc w:val="left"/>
      <w:pPr>
        <w:ind w:left="8967" w:hanging="247"/>
      </w:pPr>
      <w:rPr>
        <w:rFonts w:hint="default"/>
        <w:lang w:val="pt-PT" w:eastAsia="pt-PT" w:bidi="pt-PT"/>
      </w:rPr>
    </w:lvl>
  </w:abstractNum>
  <w:abstractNum w:abstractNumId="3" w15:restartNumberingAfterBreak="0">
    <w:nsid w:val="5E942099"/>
    <w:multiLevelType w:val="hybridMultilevel"/>
    <w:tmpl w:val="9A60CEC8"/>
    <w:lvl w:ilvl="0" w:tplc="45D6A472">
      <w:start w:val="1"/>
      <w:numFmt w:val="upperRoman"/>
      <w:lvlText w:val="%1"/>
      <w:lvlJc w:val="left"/>
      <w:pPr>
        <w:ind w:left="220" w:hanging="1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18C21CD8">
      <w:numFmt w:val="bullet"/>
      <w:lvlText w:val="•"/>
      <w:lvlJc w:val="left"/>
      <w:pPr>
        <w:ind w:left="1271" w:hanging="157"/>
      </w:pPr>
      <w:rPr>
        <w:rFonts w:hint="default"/>
        <w:lang w:val="pt-PT" w:eastAsia="pt-PT" w:bidi="pt-PT"/>
      </w:rPr>
    </w:lvl>
    <w:lvl w:ilvl="2" w:tplc="F8E40E20">
      <w:numFmt w:val="bullet"/>
      <w:lvlText w:val="•"/>
      <w:lvlJc w:val="left"/>
      <w:pPr>
        <w:ind w:left="2323" w:hanging="157"/>
      </w:pPr>
      <w:rPr>
        <w:rFonts w:hint="default"/>
        <w:lang w:val="pt-PT" w:eastAsia="pt-PT" w:bidi="pt-PT"/>
      </w:rPr>
    </w:lvl>
    <w:lvl w:ilvl="3" w:tplc="38D22F84">
      <w:numFmt w:val="bullet"/>
      <w:lvlText w:val="•"/>
      <w:lvlJc w:val="left"/>
      <w:pPr>
        <w:ind w:left="3375" w:hanging="157"/>
      </w:pPr>
      <w:rPr>
        <w:rFonts w:hint="default"/>
        <w:lang w:val="pt-PT" w:eastAsia="pt-PT" w:bidi="pt-PT"/>
      </w:rPr>
    </w:lvl>
    <w:lvl w:ilvl="4" w:tplc="53EA9BB6">
      <w:numFmt w:val="bullet"/>
      <w:lvlText w:val="•"/>
      <w:lvlJc w:val="left"/>
      <w:pPr>
        <w:ind w:left="4427" w:hanging="157"/>
      </w:pPr>
      <w:rPr>
        <w:rFonts w:hint="default"/>
        <w:lang w:val="pt-PT" w:eastAsia="pt-PT" w:bidi="pt-PT"/>
      </w:rPr>
    </w:lvl>
    <w:lvl w:ilvl="5" w:tplc="0638F0CA">
      <w:numFmt w:val="bullet"/>
      <w:lvlText w:val="•"/>
      <w:lvlJc w:val="left"/>
      <w:pPr>
        <w:ind w:left="5479" w:hanging="157"/>
      </w:pPr>
      <w:rPr>
        <w:rFonts w:hint="default"/>
        <w:lang w:val="pt-PT" w:eastAsia="pt-PT" w:bidi="pt-PT"/>
      </w:rPr>
    </w:lvl>
    <w:lvl w:ilvl="6" w:tplc="F752AD58">
      <w:numFmt w:val="bullet"/>
      <w:lvlText w:val="•"/>
      <w:lvlJc w:val="left"/>
      <w:pPr>
        <w:ind w:left="6531" w:hanging="157"/>
      </w:pPr>
      <w:rPr>
        <w:rFonts w:hint="default"/>
        <w:lang w:val="pt-PT" w:eastAsia="pt-PT" w:bidi="pt-PT"/>
      </w:rPr>
    </w:lvl>
    <w:lvl w:ilvl="7" w:tplc="BCFEDB2E">
      <w:numFmt w:val="bullet"/>
      <w:lvlText w:val="•"/>
      <w:lvlJc w:val="left"/>
      <w:pPr>
        <w:ind w:left="7583" w:hanging="157"/>
      </w:pPr>
      <w:rPr>
        <w:rFonts w:hint="default"/>
        <w:lang w:val="pt-PT" w:eastAsia="pt-PT" w:bidi="pt-PT"/>
      </w:rPr>
    </w:lvl>
    <w:lvl w:ilvl="8" w:tplc="ED824A06">
      <w:numFmt w:val="bullet"/>
      <w:lvlText w:val="•"/>
      <w:lvlJc w:val="left"/>
      <w:pPr>
        <w:ind w:left="8635" w:hanging="157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31"/>
    <w:rsid w:val="000B68B4"/>
    <w:rsid w:val="00420952"/>
    <w:rsid w:val="0052124B"/>
    <w:rsid w:val="006E3429"/>
    <w:rsid w:val="00980D97"/>
    <w:rsid w:val="00BF1031"/>
    <w:rsid w:val="00E92CED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F77DBB2-B5B2-4CBB-9F68-ADD84C43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right="1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84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C2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2F4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C2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2F44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21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01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tel.casacivil.ro.gov.br/COTEL/Livros/detalhes.aspx?coddoc=31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tel.casacivil.ro.gov.br/COTEL/Livros/detalhes.aspx?coddoc=30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FRANCIS DA SILVA CORDEIRO</dc:creator>
  <cp:lastModifiedBy>Brenda Taynah Siepamann Veloso</cp:lastModifiedBy>
  <cp:revision>4</cp:revision>
  <dcterms:created xsi:type="dcterms:W3CDTF">2019-11-27T14:14:00Z</dcterms:created>
  <dcterms:modified xsi:type="dcterms:W3CDTF">2020-02-19T15:48:00Z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Mozilla/5.0 (Windows NT 6.1; WOW64) AppleWebKit/537.36 (KHTML, like Gecko) Chrome/69.0.3497.100 Safari/537.36</vt:lpwstr>
  </property>
  <property fmtid="{D5CDD505-2E9C-101B-9397-08002B2CF9AE}" pid="4" name="LastSaved">
    <vt:filetime>2019-11-27T00:00:00Z</vt:filetime>
  </property>
</Properties>
</file>