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Default="00137501" w:rsidP="00137501">
      <w:pPr>
        <w:pStyle w:val="Ttulo1"/>
        <w:jc w:val="center"/>
        <w:rPr>
          <w:sz w:val="24"/>
          <w:szCs w:val="24"/>
        </w:rPr>
      </w:pPr>
      <w:r w:rsidRPr="00137501">
        <w:rPr>
          <w:sz w:val="24"/>
          <w:szCs w:val="24"/>
        </w:rPr>
        <w:t>LEI</w:t>
      </w:r>
      <w:r w:rsidR="00C5364E">
        <w:rPr>
          <w:sz w:val="24"/>
          <w:szCs w:val="24"/>
        </w:rPr>
        <w:t xml:space="preserve"> COMPLEMENTAR </w:t>
      </w:r>
      <w:r w:rsidRPr="00137501">
        <w:rPr>
          <w:sz w:val="24"/>
          <w:szCs w:val="24"/>
        </w:rPr>
        <w:t>N.</w:t>
      </w:r>
      <w:r w:rsidR="00D01AFC">
        <w:rPr>
          <w:sz w:val="24"/>
          <w:szCs w:val="24"/>
        </w:rPr>
        <w:t xml:space="preserve"> </w:t>
      </w:r>
      <w:r w:rsidR="003C4941">
        <w:rPr>
          <w:sz w:val="24"/>
          <w:szCs w:val="24"/>
        </w:rPr>
        <w:t>802</w:t>
      </w:r>
      <w:r w:rsidR="00D01AFC">
        <w:rPr>
          <w:sz w:val="24"/>
          <w:szCs w:val="24"/>
        </w:rPr>
        <w:t>,</w:t>
      </w:r>
      <w:r w:rsidRPr="00137501">
        <w:rPr>
          <w:sz w:val="24"/>
          <w:szCs w:val="24"/>
        </w:rPr>
        <w:t xml:space="preserve"> DE</w:t>
      </w:r>
      <w:r w:rsidR="00D01AFC">
        <w:rPr>
          <w:sz w:val="24"/>
          <w:szCs w:val="24"/>
        </w:rPr>
        <w:t xml:space="preserve"> </w:t>
      </w:r>
      <w:r w:rsidR="003C4941">
        <w:rPr>
          <w:sz w:val="24"/>
          <w:szCs w:val="24"/>
        </w:rPr>
        <w:t>05</w:t>
      </w:r>
      <w:r w:rsidR="00D01AFC">
        <w:rPr>
          <w:sz w:val="24"/>
          <w:szCs w:val="24"/>
        </w:rPr>
        <w:t xml:space="preserve"> </w:t>
      </w:r>
      <w:r w:rsidRPr="00137501">
        <w:rPr>
          <w:sz w:val="24"/>
          <w:szCs w:val="24"/>
        </w:rPr>
        <w:t>DE</w:t>
      </w:r>
      <w:r w:rsidR="00EC58D0">
        <w:rPr>
          <w:sz w:val="24"/>
          <w:szCs w:val="24"/>
        </w:rPr>
        <w:t xml:space="preserve"> </w:t>
      </w:r>
      <w:r w:rsidR="00C5364E">
        <w:rPr>
          <w:sz w:val="24"/>
          <w:szCs w:val="24"/>
        </w:rPr>
        <w:t>NOVEMBRO</w:t>
      </w:r>
      <w:r w:rsidR="00EC58D0">
        <w:rPr>
          <w:sz w:val="24"/>
          <w:szCs w:val="24"/>
        </w:rPr>
        <w:t xml:space="preserve"> </w:t>
      </w:r>
      <w:r w:rsidRPr="00137501">
        <w:rPr>
          <w:sz w:val="24"/>
          <w:szCs w:val="24"/>
        </w:rPr>
        <w:t>DE 2014.</w:t>
      </w:r>
    </w:p>
    <w:p w:rsidR="00AE4649" w:rsidRDefault="00AE4649" w:rsidP="00E211D6">
      <w:pPr>
        <w:ind w:left="5103"/>
        <w:jc w:val="both"/>
      </w:pPr>
    </w:p>
    <w:p w:rsidR="00C5364E" w:rsidRDefault="00C5364E" w:rsidP="00E211D6">
      <w:pPr>
        <w:ind w:left="5103"/>
        <w:jc w:val="both"/>
      </w:pPr>
    </w:p>
    <w:p w:rsidR="00904017" w:rsidRDefault="00992886" w:rsidP="00E211D6">
      <w:pPr>
        <w:ind w:left="5103"/>
        <w:jc w:val="both"/>
      </w:pPr>
      <w:r w:rsidRPr="009202B9">
        <w:rPr>
          <w:color w:val="000000"/>
        </w:rPr>
        <w:t xml:space="preserve">Altera Anexos II e III, da Lei Complementar </w:t>
      </w:r>
      <w:r w:rsidRPr="009202B9">
        <w:rPr>
          <w:bCs/>
        </w:rPr>
        <w:t>n</w:t>
      </w:r>
      <w:r>
        <w:rPr>
          <w:bCs/>
        </w:rPr>
        <w:t>.</w:t>
      </w:r>
      <w:r w:rsidRPr="009202B9">
        <w:rPr>
          <w:bCs/>
        </w:rPr>
        <w:t xml:space="preserve"> 733, de </w:t>
      </w:r>
      <w:r w:rsidRPr="009202B9">
        <w:t>10 de outubro de 2013</w:t>
      </w:r>
      <w:r w:rsidR="00C5364E" w:rsidRPr="00094283">
        <w:t>.</w:t>
      </w:r>
    </w:p>
    <w:p w:rsidR="00C5364E" w:rsidRDefault="00C5364E" w:rsidP="00E211D6">
      <w:pPr>
        <w:ind w:left="5103"/>
        <w:jc w:val="both"/>
      </w:pPr>
    </w:p>
    <w:p w:rsidR="00C5364E" w:rsidRDefault="00C5364E" w:rsidP="00E211D6">
      <w:pPr>
        <w:ind w:left="5103"/>
        <w:jc w:val="both"/>
      </w:pPr>
    </w:p>
    <w:p w:rsidR="003208AF" w:rsidRPr="0046356F" w:rsidRDefault="003208AF" w:rsidP="003208AF">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46356F">
        <w:rPr>
          <w:rFonts w:ascii="Times New Roman" w:eastAsia="Times New Roman" w:hAnsi="Times New Roman" w:cs="Times New Roman"/>
        </w:rPr>
        <w:t>O GOVERNADOR DO ESTADO DE RONDÔNIA:</w:t>
      </w:r>
    </w:p>
    <w:p w:rsidR="00217C87" w:rsidRDefault="003208AF" w:rsidP="003208AF">
      <w:pPr>
        <w:ind w:firstLine="567"/>
        <w:jc w:val="both"/>
      </w:pPr>
      <w:r w:rsidRPr="0046356F">
        <w:t>Faço saber que a Assembleia Legislativa decr</w:t>
      </w:r>
      <w:r w:rsidR="0021773A">
        <w:t>eta e eu sanciono a seguinte Lei</w:t>
      </w:r>
      <w:r w:rsidR="00C5364E">
        <w:t xml:space="preserve"> Complementar</w:t>
      </w:r>
      <w:r w:rsidRPr="0046356F">
        <w:t>:</w:t>
      </w:r>
    </w:p>
    <w:p w:rsidR="003208AF" w:rsidRDefault="003208AF" w:rsidP="003208AF">
      <w:pPr>
        <w:ind w:firstLine="567"/>
        <w:jc w:val="both"/>
        <w:rPr>
          <w:bCs/>
          <w:color w:val="000000"/>
        </w:rPr>
      </w:pPr>
    </w:p>
    <w:p w:rsidR="00992886" w:rsidRPr="009202B9" w:rsidRDefault="00992886" w:rsidP="00992886">
      <w:pPr>
        <w:pStyle w:val="Legendadatabela1"/>
        <w:shd w:val="clear" w:color="auto" w:fill="auto"/>
        <w:spacing w:line="240" w:lineRule="auto"/>
        <w:ind w:firstLine="567"/>
        <w:jc w:val="both"/>
        <w:rPr>
          <w:bCs/>
          <w:sz w:val="24"/>
          <w:szCs w:val="24"/>
        </w:rPr>
      </w:pPr>
      <w:r w:rsidRPr="009202B9">
        <w:rPr>
          <w:bCs/>
          <w:sz w:val="24"/>
          <w:szCs w:val="24"/>
        </w:rPr>
        <w:t>Art. 1º. O Anexo II</w:t>
      </w:r>
      <w:r w:rsidRPr="009202B9">
        <w:rPr>
          <w:color w:val="000000"/>
          <w:sz w:val="24"/>
          <w:szCs w:val="24"/>
        </w:rPr>
        <w:t xml:space="preserve">, da Lei Complementar </w:t>
      </w:r>
      <w:r w:rsidRPr="009202B9">
        <w:rPr>
          <w:bCs/>
          <w:sz w:val="24"/>
          <w:szCs w:val="24"/>
        </w:rPr>
        <w:t>n</w:t>
      </w:r>
      <w:r>
        <w:rPr>
          <w:bCs/>
          <w:sz w:val="24"/>
          <w:szCs w:val="24"/>
        </w:rPr>
        <w:t>.</w:t>
      </w:r>
      <w:r w:rsidRPr="009202B9">
        <w:rPr>
          <w:bCs/>
          <w:sz w:val="24"/>
          <w:szCs w:val="24"/>
        </w:rPr>
        <w:t xml:space="preserve"> 733, de </w:t>
      </w:r>
      <w:r w:rsidRPr="009202B9">
        <w:rPr>
          <w:sz w:val="24"/>
          <w:szCs w:val="24"/>
        </w:rPr>
        <w:t>10 de outubro de 2013</w:t>
      </w:r>
      <w:r w:rsidRPr="009202B9">
        <w:rPr>
          <w:bCs/>
          <w:sz w:val="24"/>
          <w:szCs w:val="24"/>
        </w:rPr>
        <w:t>, no que se refere às</w:t>
      </w:r>
      <w:r w:rsidRPr="009202B9">
        <w:rPr>
          <w:sz w:val="24"/>
          <w:szCs w:val="24"/>
        </w:rPr>
        <w:t xml:space="preserve"> nomenclaturas e aos quantitativos dos </w:t>
      </w:r>
      <w:r w:rsidRPr="009202B9">
        <w:rPr>
          <w:rStyle w:val="Legendadatabela"/>
          <w:color w:val="000000"/>
          <w:sz w:val="24"/>
          <w:szCs w:val="24"/>
          <w:lang w:eastAsia="pt-PT"/>
        </w:rPr>
        <w:t xml:space="preserve">cargos de </w:t>
      </w:r>
      <w:r w:rsidRPr="009202B9">
        <w:rPr>
          <w:rStyle w:val="Legendadatabela"/>
          <w:color w:val="000000"/>
          <w:sz w:val="24"/>
          <w:szCs w:val="24"/>
        </w:rPr>
        <w:t xml:space="preserve">direção </w:t>
      </w:r>
      <w:r w:rsidRPr="009202B9">
        <w:rPr>
          <w:rStyle w:val="Legendadatabela"/>
          <w:color w:val="000000"/>
          <w:sz w:val="24"/>
          <w:szCs w:val="24"/>
          <w:lang w:eastAsia="pt-PT"/>
        </w:rPr>
        <w:t xml:space="preserve">superior da administração </w:t>
      </w:r>
      <w:r w:rsidRPr="009202B9">
        <w:rPr>
          <w:rStyle w:val="Legendadatabela"/>
          <w:color w:val="000000"/>
          <w:sz w:val="24"/>
          <w:szCs w:val="24"/>
        </w:rPr>
        <w:t xml:space="preserve">direta </w:t>
      </w:r>
      <w:r w:rsidRPr="009202B9">
        <w:rPr>
          <w:rStyle w:val="Legendadatabela"/>
          <w:color w:val="000000"/>
          <w:sz w:val="24"/>
          <w:szCs w:val="24"/>
          <w:lang w:eastAsia="pt-PT"/>
        </w:rPr>
        <w:t xml:space="preserve">e </w:t>
      </w:r>
      <w:r w:rsidRPr="009202B9">
        <w:rPr>
          <w:rStyle w:val="Legendadatabela"/>
          <w:color w:val="000000"/>
          <w:sz w:val="24"/>
          <w:szCs w:val="24"/>
        </w:rPr>
        <w:t>indireta</w:t>
      </w:r>
      <w:r w:rsidRPr="009202B9">
        <w:rPr>
          <w:sz w:val="24"/>
          <w:szCs w:val="24"/>
        </w:rPr>
        <w:t>, relativos à Tabela da</w:t>
      </w:r>
      <w:r w:rsidRPr="009202B9">
        <w:rPr>
          <w:color w:val="FF0000"/>
          <w:sz w:val="24"/>
          <w:szCs w:val="24"/>
        </w:rPr>
        <w:t xml:space="preserve"> </w:t>
      </w:r>
      <w:r w:rsidRPr="009202B9">
        <w:rPr>
          <w:bCs/>
          <w:sz w:val="24"/>
          <w:szCs w:val="24"/>
        </w:rPr>
        <w:t>Superintendência de Administração e Recursos Humanos - SEARH</w:t>
      </w:r>
      <w:r w:rsidRPr="009202B9">
        <w:rPr>
          <w:sz w:val="24"/>
          <w:szCs w:val="24"/>
        </w:rPr>
        <w:t> são os constantes do Anexo I, desta Lei Complementar.</w:t>
      </w:r>
    </w:p>
    <w:p w:rsidR="00992886" w:rsidRPr="009202B9" w:rsidRDefault="00992886" w:rsidP="00992886">
      <w:pPr>
        <w:ind w:firstLine="567"/>
        <w:jc w:val="both"/>
        <w:rPr>
          <w:color w:val="000000"/>
        </w:rPr>
      </w:pPr>
    </w:p>
    <w:p w:rsidR="00992886" w:rsidRPr="009202B9" w:rsidRDefault="00992886" w:rsidP="00992886">
      <w:pPr>
        <w:pStyle w:val="Legendadatabela1"/>
        <w:shd w:val="clear" w:color="auto" w:fill="auto"/>
        <w:spacing w:line="240" w:lineRule="auto"/>
        <w:ind w:firstLine="567"/>
        <w:jc w:val="both"/>
        <w:rPr>
          <w:bCs/>
          <w:sz w:val="24"/>
          <w:szCs w:val="24"/>
        </w:rPr>
      </w:pPr>
      <w:r w:rsidRPr="009202B9">
        <w:rPr>
          <w:color w:val="000000"/>
          <w:sz w:val="24"/>
          <w:szCs w:val="24"/>
        </w:rPr>
        <w:t xml:space="preserve">Art. 2º. O Anexo III, de que trata a Lei Complementar citada no artigo anterior, no que se refere à função gratificada da Administração Direta e Indireta, relativa à </w:t>
      </w:r>
      <w:r w:rsidRPr="009202B9">
        <w:rPr>
          <w:sz w:val="24"/>
          <w:szCs w:val="24"/>
        </w:rPr>
        <w:t>Tabela da</w:t>
      </w:r>
      <w:r w:rsidRPr="009202B9">
        <w:rPr>
          <w:color w:val="FF0000"/>
          <w:sz w:val="24"/>
          <w:szCs w:val="24"/>
        </w:rPr>
        <w:t xml:space="preserve"> </w:t>
      </w:r>
      <w:r w:rsidRPr="009202B9">
        <w:rPr>
          <w:bCs/>
          <w:sz w:val="24"/>
          <w:szCs w:val="24"/>
        </w:rPr>
        <w:t>Superintendência de Administração e Recursos Humanos – SEARH</w:t>
      </w:r>
      <w:r w:rsidRPr="009202B9">
        <w:rPr>
          <w:sz w:val="24"/>
          <w:szCs w:val="24"/>
        </w:rPr>
        <w:t> são os constantes do Anexo II desta Lei Complementar.</w:t>
      </w:r>
    </w:p>
    <w:p w:rsidR="00992886" w:rsidRPr="009202B9" w:rsidRDefault="00992886" w:rsidP="00992886">
      <w:pPr>
        <w:ind w:firstLine="567"/>
        <w:jc w:val="both"/>
      </w:pPr>
    </w:p>
    <w:p w:rsidR="00BD50CF" w:rsidRDefault="00992886" w:rsidP="00992886">
      <w:pPr>
        <w:ind w:firstLine="600"/>
        <w:jc w:val="both"/>
      </w:pPr>
      <w:r w:rsidRPr="009202B9">
        <w:rPr>
          <w:color w:val="000000"/>
        </w:rPr>
        <w:t xml:space="preserve">Art. 3º. </w:t>
      </w:r>
      <w:r w:rsidRPr="009202B9">
        <w:t>Esta Lei Complementar entra em vigor na data de sua publicação.</w:t>
      </w:r>
    </w:p>
    <w:p w:rsidR="00C5364E" w:rsidRDefault="00C5364E" w:rsidP="00BD50CF">
      <w:pPr>
        <w:ind w:firstLine="600"/>
        <w:jc w:val="both"/>
      </w:pPr>
    </w:p>
    <w:p w:rsidR="00137501" w:rsidRPr="0046356F" w:rsidRDefault="00137501" w:rsidP="00AA0602">
      <w:pPr>
        <w:ind w:firstLine="567"/>
        <w:jc w:val="both"/>
      </w:pPr>
      <w:r w:rsidRPr="0046356F">
        <w:t>Palácio do Governo do Estado de Rondônia, em</w:t>
      </w:r>
      <w:r w:rsidR="00D01AFC">
        <w:t xml:space="preserve"> </w:t>
      </w:r>
      <w:bookmarkStart w:id="0" w:name="_GoBack"/>
      <w:bookmarkEnd w:id="0"/>
      <w:r w:rsidR="003C4941">
        <w:t>05</w:t>
      </w:r>
      <w:r w:rsidR="00D01AFC">
        <w:t xml:space="preserve"> </w:t>
      </w:r>
      <w:r w:rsidRPr="0046356F">
        <w:t>de</w:t>
      </w:r>
      <w:r w:rsidR="00EC58D0">
        <w:t xml:space="preserve"> </w:t>
      </w:r>
      <w:r w:rsidR="00C5364E">
        <w:t>novembro</w:t>
      </w:r>
      <w:r w:rsidR="00EC58D0">
        <w:t xml:space="preserve"> </w:t>
      </w:r>
      <w:r w:rsidRPr="0046356F">
        <w:t>de 201</w:t>
      </w:r>
      <w:r>
        <w:t>4</w:t>
      </w:r>
      <w:r w:rsidRPr="0046356F">
        <w:t>, 12</w:t>
      </w:r>
      <w:r>
        <w:t>6</w:t>
      </w:r>
      <w:r w:rsidRPr="0046356F">
        <w:t xml:space="preserve">º da República.  </w:t>
      </w:r>
    </w:p>
    <w:p w:rsidR="00137501" w:rsidRPr="0046356F" w:rsidRDefault="00137501" w:rsidP="00137501">
      <w:pPr>
        <w:ind w:firstLine="567"/>
        <w:jc w:val="both"/>
      </w:pPr>
    </w:p>
    <w:p w:rsidR="00137501" w:rsidRPr="0046356F" w:rsidRDefault="00137501" w:rsidP="00137501">
      <w:pPr>
        <w:spacing w:line="0" w:lineRule="atLeast"/>
      </w:pPr>
      <w:r>
        <w:tab/>
      </w:r>
    </w:p>
    <w:p w:rsidR="00137501" w:rsidRPr="0046356F" w:rsidRDefault="00137501" w:rsidP="00137501">
      <w:pPr>
        <w:spacing w:line="0" w:lineRule="atLeast"/>
      </w:pPr>
    </w:p>
    <w:p w:rsidR="00137501" w:rsidRPr="0046356F" w:rsidRDefault="00137501" w:rsidP="00137501">
      <w:pPr>
        <w:tabs>
          <w:tab w:val="left" w:pos="4365"/>
        </w:tabs>
        <w:spacing w:line="0" w:lineRule="atLeast"/>
        <w:jc w:val="center"/>
        <w:rPr>
          <w:b/>
        </w:rPr>
      </w:pPr>
      <w:proofErr w:type="gramStart"/>
      <w:r w:rsidRPr="0046356F">
        <w:rPr>
          <w:b/>
        </w:rPr>
        <w:t>CONFÚCIO AIRES MOURA</w:t>
      </w:r>
      <w:proofErr w:type="gramEnd"/>
    </w:p>
    <w:p w:rsidR="00137501" w:rsidRPr="0046356F" w:rsidRDefault="00137501" w:rsidP="00137501">
      <w:pPr>
        <w:tabs>
          <w:tab w:val="left" w:pos="4365"/>
        </w:tabs>
        <w:spacing w:line="0" w:lineRule="atLeast"/>
        <w:jc w:val="center"/>
      </w:pPr>
      <w:r w:rsidRPr="0046356F">
        <w:t>Governador</w:t>
      </w:r>
    </w:p>
    <w:p w:rsidR="00030867" w:rsidRDefault="00030867" w:rsidP="00217C87">
      <w:pPr>
        <w:ind w:firstLine="600"/>
        <w:jc w:val="both"/>
      </w:pPr>
    </w:p>
    <w:p w:rsidR="00C02B9B" w:rsidRDefault="00C02B9B" w:rsidP="00217C87">
      <w:pPr>
        <w:ind w:firstLine="600"/>
        <w:jc w:val="both"/>
      </w:pPr>
    </w:p>
    <w:p w:rsidR="005153AD" w:rsidRDefault="005153AD" w:rsidP="005153AD">
      <w:pPr>
        <w:ind w:left="5103"/>
        <w:jc w:val="both"/>
      </w:pPr>
    </w:p>
    <w:p w:rsidR="00C02B9B" w:rsidRDefault="00C02B9B" w:rsidP="00217C87">
      <w:pPr>
        <w:ind w:firstLine="600"/>
        <w:jc w:val="both"/>
      </w:pPr>
    </w:p>
    <w:p w:rsidR="00C364E6" w:rsidRDefault="00C364E6" w:rsidP="00217C87">
      <w:pPr>
        <w:ind w:firstLine="600"/>
        <w:jc w:val="both"/>
      </w:pPr>
    </w:p>
    <w:p w:rsidR="00C364E6" w:rsidRDefault="00C364E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Default="00992886" w:rsidP="00217C87">
      <w:pPr>
        <w:ind w:firstLine="600"/>
        <w:jc w:val="both"/>
      </w:pPr>
    </w:p>
    <w:p w:rsidR="00992886" w:rsidRPr="00727F66" w:rsidRDefault="00992886" w:rsidP="00992886">
      <w:pPr>
        <w:ind w:firstLine="567"/>
        <w:jc w:val="center"/>
        <w:rPr>
          <w:b/>
        </w:rPr>
      </w:pPr>
      <w:r w:rsidRPr="00727F66">
        <w:rPr>
          <w:b/>
        </w:rPr>
        <w:lastRenderedPageBreak/>
        <w:t>AN</w:t>
      </w:r>
      <w:r>
        <w:rPr>
          <w:b/>
        </w:rPr>
        <w:t>E</w:t>
      </w:r>
      <w:r w:rsidRPr="00727F66">
        <w:rPr>
          <w:b/>
        </w:rPr>
        <w:t xml:space="preserve">XO </w:t>
      </w:r>
      <w:r>
        <w:rPr>
          <w:b/>
        </w:rPr>
        <w:t>I</w:t>
      </w:r>
    </w:p>
    <w:p w:rsidR="00992886" w:rsidRDefault="00992886" w:rsidP="00992886">
      <w:pPr>
        <w:ind w:firstLine="567"/>
        <w:jc w:val="both"/>
      </w:pPr>
    </w:p>
    <w:tbl>
      <w:tblPr>
        <w:tblW w:w="9790" w:type="dxa"/>
        <w:tblInd w:w="61" w:type="dxa"/>
        <w:tblCellMar>
          <w:left w:w="70" w:type="dxa"/>
          <w:right w:w="70" w:type="dxa"/>
        </w:tblCellMar>
        <w:tblLook w:val="04A0" w:firstRow="1" w:lastRow="0" w:firstColumn="1" w:lastColumn="0" w:noHBand="0" w:noVBand="1"/>
      </w:tblPr>
      <w:tblGrid>
        <w:gridCol w:w="7522"/>
        <w:gridCol w:w="992"/>
        <w:gridCol w:w="1276"/>
      </w:tblGrid>
      <w:tr w:rsidR="00992886" w:rsidRPr="00A2678C" w:rsidTr="00757380">
        <w:trPr>
          <w:trHeight w:val="315"/>
        </w:trPr>
        <w:tc>
          <w:tcPr>
            <w:tcW w:w="9790" w:type="dxa"/>
            <w:gridSpan w:val="3"/>
            <w:tcBorders>
              <w:bottom w:val="single" w:sz="4" w:space="0" w:color="auto"/>
            </w:tcBorders>
            <w:shd w:val="clear" w:color="000000" w:fill="FFFFFF"/>
            <w:noWrap/>
            <w:vAlign w:val="bottom"/>
            <w:hideMark/>
          </w:tcPr>
          <w:p w:rsidR="00992886" w:rsidRPr="00A2678C" w:rsidRDefault="00992886" w:rsidP="00757380">
            <w:pPr>
              <w:rPr>
                <w:b/>
                <w:bCs/>
              </w:rPr>
            </w:pPr>
            <w:r w:rsidRPr="00A2678C">
              <w:rPr>
                <w:b/>
                <w:bCs/>
              </w:rPr>
              <w:t>Superintendência de Administração e Recursos Humanos - SEARH</w:t>
            </w:r>
            <w:r w:rsidRPr="00A2678C">
              <w:t> </w:t>
            </w:r>
          </w:p>
        </w:tc>
      </w:tr>
      <w:tr w:rsidR="00992886" w:rsidRPr="00A2678C" w:rsidTr="00757380">
        <w:trPr>
          <w:trHeight w:val="315"/>
        </w:trPr>
        <w:tc>
          <w:tcPr>
            <w:tcW w:w="75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pPr>
              <w:jc w:val="center"/>
              <w:rPr>
                <w:b/>
                <w:bCs/>
              </w:rPr>
            </w:pPr>
            <w:r w:rsidRPr="00A2678C">
              <w:rPr>
                <w:b/>
                <w:bCs/>
              </w:rPr>
              <w:t>Cargo</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rPr>
                <w:b/>
                <w:bCs/>
              </w:rPr>
            </w:pPr>
            <w:r w:rsidRPr="00A2678C">
              <w:rPr>
                <w:b/>
                <w:bCs/>
              </w:rPr>
              <w:t>Quant.</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rPr>
                <w:b/>
                <w:bCs/>
              </w:rPr>
            </w:pPr>
            <w:r w:rsidRPr="00A2678C">
              <w:rPr>
                <w:b/>
                <w:bCs/>
              </w:rPr>
              <w:t>Símbolo</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Superintendente</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Subsídio II </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Diretor Executivo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CDS-11</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Assessor Especial III</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2</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CDS-08</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Assessor Técnico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4</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Núcleo de Redação Oficial</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CDS-08</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do Centro de Perícias Médicas</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CDS-06</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Coordenador do Controle Interno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CDS-09</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Assistente de Controle Interno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CDS-06</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Assistente de Sistema de Controle Interno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2</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 xml:space="preserve">Assistente de Coordenadoria </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hideMark/>
          </w:tcPr>
          <w:p w:rsidR="00992886" w:rsidRPr="00A2678C" w:rsidRDefault="00992886" w:rsidP="00757380">
            <w:pPr>
              <w:jc w:val="center"/>
            </w:pPr>
            <w:r w:rsidRPr="00A2678C">
              <w:t>CDS-02</w:t>
            </w:r>
          </w:p>
        </w:tc>
      </w:tr>
      <w:tr w:rsidR="00992886" w:rsidRPr="0057708B"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57708B" w:rsidRDefault="00992886" w:rsidP="00757380">
            <w:r w:rsidRPr="0057708B">
              <w:t>Corregedor</w:t>
            </w:r>
            <w:r>
              <w:t>-</w:t>
            </w:r>
            <w:r w:rsidRPr="0057708B">
              <w:t>Geral</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proofErr w:type="gramStart"/>
            <w:r w:rsidRPr="0057708B">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r w:rsidRPr="0057708B">
              <w:t>CDS-08</w:t>
            </w:r>
          </w:p>
        </w:tc>
      </w:tr>
      <w:tr w:rsidR="00992886" w:rsidRPr="0057708B"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tcPr>
          <w:p w:rsidR="00992886" w:rsidRPr="0057708B" w:rsidRDefault="00992886" w:rsidP="00757380">
            <w:r w:rsidRPr="0057708B">
              <w:t>Assessor Especial</w:t>
            </w:r>
          </w:p>
        </w:tc>
        <w:tc>
          <w:tcPr>
            <w:tcW w:w="992" w:type="dxa"/>
            <w:tcBorders>
              <w:top w:val="nil"/>
              <w:left w:val="nil"/>
              <w:bottom w:val="single" w:sz="4" w:space="0" w:color="auto"/>
              <w:right w:val="single" w:sz="4" w:space="0" w:color="auto"/>
            </w:tcBorders>
            <w:shd w:val="clear" w:color="000000" w:fill="FFFFFF"/>
            <w:noWrap/>
            <w:vAlign w:val="bottom"/>
          </w:tcPr>
          <w:p w:rsidR="00992886" w:rsidRPr="0057708B" w:rsidRDefault="00992886" w:rsidP="00757380">
            <w:pPr>
              <w:jc w:val="center"/>
            </w:pPr>
            <w:proofErr w:type="gramStart"/>
            <w:r w:rsidRPr="0057708B">
              <w:t>1</w:t>
            </w:r>
            <w:proofErr w:type="gramEnd"/>
          </w:p>
        </w:tc>
        <w:tc>
          <w:tcPr>
            <w:tcW w:w="1276" w:type="dxa"/>
            <w:tcBorders>
              <w:top w:val="nil"/>
              <w:left w:val="nil"/>
              <w:bottom w:val="single" w:sz="4" w:space="0" w:color="auto"/>
              <w:right w:val="single" w:sz="4" w:space="0" w:color="auto"/>
            </w:tcBorders>
            <w:shd w:val="clear" w:color="000000" w:fill="FFFFFF"/>
            <w:noWrap/>
            <w:vAlign w:val="bottom"/>
          </w:tcPr>
          <w:p w:rsidR="00992886" w:rsidRPr="0057708B" w:rsidRDefault="00992886" w:rsidP="00757380">
            <w:pPr>
              <w:jc w:val="center"/>
            </w:pPr>
            <w:r w:rsidRPr="0057708B">
              <w:t>CDS-07</w:t>
            </w:r>
          </w:p>
        </w:tc>
      </w:tr>
      <w:tr w:rsidR="00992886" w:rsidRPr="0057708B"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tcPr>
          <w:p w:rsidR="00992886" w:rsidRPr="0057708B" w:rsidRDefault="00992886" w:rsidP="00757380">
            <w:r w:rsidRPr="0057708B">
              <w:t>Chefe de Cartório</w:t>
            </w:r>
          </w:p>
        </w:tc>
        <w:tc>
          <w:tcPr>
            <w:tcW w:w="992" w:type="dxa"/>
            <w:tcBorders>
              <w:top w:val="nil"/>
              <w:left w:val="nil"/>
              <w:bottom w:val="single" w:sz="4" w:space="0" w:color="auto"/>
              <w:right w:val="single" w:sz="4" w:space="0" w:color="auto"/>
            </w:tcBorders>
            <w:shd w:val="clear" w:color="000000" w:fill="FFFFFF"/>
            <w:noWrap/>
            <w:vAlign w:val="bottom"/>
          </w:tcPr>
          <w:p w:rsidR="00992886" w:rsidRPr="0057708B" w:rsidRDefault="00992886" w:rsidP="00757380">
            <w:pPr>
              <w:jc w:val="center"/>
            </w:pPr>
            <w:proofErr w:type="gramStart"/>
            <w:r w:rsidRPr="0057708B">
              <w:t>1</w:t>
            </w:r>
            <w:proofErr w:type="gramEnd"/>
          </w:p>
        </w:tc>
        <w:tc>
          <w:tcPr>
            <w:tcW w:w="1276" w:type="dxa"/>
            <w:tcBorders>
              <w:top w:val="nil"/>
              <w:left w:val="nil"/>
              <w:bottom w:val="single" w:sz="4" w:space="0" w:color="auto"/>
              <w:right w:val="single" w:sz="4" w:space="0" w:color="auto"/>
            </w:tcBorders>
            <w:shd w:val="clear" w:color="000000" w:fill="FFFFFF"/>
            <w:noWrap/>
            <w:vAlign w:val="bottom"/>
          </w:tcPr>
          <w:p w:rsidR="00992886" w:rsidRPr="0057708B" w:rsidRDefault="00992886" w:rsidP="00757380">
            <w:pPr>
              <w:jc w:val="center"/>
            </w:pPr>
            <w:r w:rsidRPr="0057708B">
              <w:t>CDS-07</w:t>
            </w:r>
          </w:p>
        </w:tc>
      </w:tr>
      <w:tr w:rsidR="00992886" w:rsidRPr="0057708B"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57708B" w:rsidRDefault="00992886" w:rsidP="00757380">
            <w:r w:rsidRPr="0057708B">
              <w:t>Presidente de Comissão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proofErr w:type="gramStart"/>
            <w:r w:rsidRPr="0057708B">
              <w:t>6</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r w:rsidRPr="0057708B">
              <w:t>CDS-06</w:t>
            </w:r>
          </w:p>
        </w:tc>
      </w:tr>
      <w:tr w:rsidR="00992886" w:rsidRPr="0057708B"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57708B" w:rsidRDefault="00992886" w:rsidP="00757380">
            <w:r w:rsidRPr="0057708B">
              <w:t>Assessor Técnico de Corregedoria</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proofErr w:type="gramStart"/>
            <w:r w:rsidRPr="0057708B">
              <w:t>6</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r w:rsidRPr="0057708B">
              <w:t>CDS-06</w:t>
            </w:r>
          </w:p>
        </w:tc>
      </w:tr>
      <w:tr w:rsidR="00992886" w:rsidRPr="0057708B"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57708B" w:rsidRDefault="00992886" w:rsidP="00757380">
            <w:r w:rsidRPr="0057708B">
              <w:t>Membro de Comissão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r w:rsidRPr="0057708B">
              <w:t>12</w:t>
            </w:r>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r w:rsidRPr="0057708B">
              <w:t>CDS-04</w:t>
            </w:r>
          </w:p>
        </w:tc>
      </w:tr>
      <w:tr w:rsidR="00992886" w:rsidRPr="0057708B"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57708B" w:rsidRDefault="00992886" w:rsidP="00757380">
            <w:r w:rsidRPr="0057708B">
              <w:t>Assistente de Corregedoria</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proofErr w:type="gramStart"/>
            <w:r w:rsidRPr="0057708B">
              <w:t>7</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57708B" w:rsidRDefault="00992886" w:rsidP="00757380">
            <w:pPr>
              <w:jc w:val="center"/>
            </w:pPr>
            <w:r w:rsidRPr="0057708B">
              <w:t>CDS-03</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de Núcleo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5</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Gerente de Folha de Pagamento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CDS-11</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de Núcleo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4</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Gerente de Gestão de Recursos Humanos</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CDS-10</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de Núcleo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8</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Gerente de Execução Orçamentária</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CDS-10</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de Núcleo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4</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Gerente de Desenvolvimento de Recursos Humanos</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CDS-10</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de Núcleo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3</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Gerente de Benefícios e Proventos</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1</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CDS-10</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Chefe de Núcleo</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3</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CDS-05</w:t>
            </w:r>
          </w:p>
        </w:tc>
      </w:tr>
      <w:tr w:rsidR="00992886" w:rsidRPr="00A2678C" w:rsidTr="00757380">
        <w:trPr>
          <w:trHeight w:val="315"/>
        </w:trPr>
        <w:tc>
          <w:tcPr>
            <w:tcW w:w="75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Assistente de Transporte</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4</w:t>
            </w:r>
            <w:proofErr w:type="gramEnd"/>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CDS-02</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Assessor Especial II</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2</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CDS-09</w:t>
            </w:r>
          </w:p>
        </w:tc>
      </w:tr>
      <w:tr w:rsidR="00992886" w:rsidRPr="00A2678C" w:rsidTr="00757380">
        <w:trPr>
          <w:trHeight w:val="315"/>
        </w:trPr>
        <w:tc>
          <w:tcPr>
            <w:tcW w:w="75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r w:rsidRPr="00A2678C">
              <w:t>Assessor Especial III</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proofErr w:type="gramStart"/>
            <w:r w:rsidRPr="00A2678C">
              <w:t>2</w:t>
            </w:r>
            <w:proofErr w:type="gramEnd"/>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CDS-08</w:t>
            </w:r>
          </w:p>
        </w:tc>
      </w:tr>
      <w:tr w:rsidR="00992886" w:rsidRPr="00A2678C" w:rsidTr="00757380">
        <w:trPr>
          <w:trHeight w:val="315"/>
        </w:trPr>
        <w:tc>
          <w:tcPr>
            <w:tcW w:w="7522" w:type="dxa"/>
            <w:tcBorders>
              <w:top w:val="nil"/>
              <w:left w:val="single" w:sz="4" w:space="0" w:color="auto"/>
              <w:bottom w:val="single" w:sz="4" w:space="0" w:color="auto"/>
              <w:right w:val="single" w:sz="4" w:space="0" w:color="auto"/>
            </w:tcBorders>
            <w:shd w:val="clear" w:color="000000" w:fill="FFFFFF"/>
            <w:noWrap/>
            <w:vAlign w:val="bottom"/>
            <w:hideMark/>
          </w:tcPr>
          <w:p w:rsidR="00992886" w:rsidRPr="00A2678C" w:rsidRDefault="00992886" w:rsidP="00757380">
            <w:pPr>
              <w:jc w:val="center"/>
              <w:rPr>
                <w:b/>
                <w:bCs/>
              </w:rPr>
            </w:pPr>
            <w:r w:rsidRPr="00A2678C">
              <w:rPr>
                <w:b/>
                <w:bCs/>
              </w:rPr>
              <w:t>TOTAL</w:t>
            </w:r>
          </w:p>
        </w:tc>
        <w:tc>
          <w:tcPr>
            <w:tcW w:w="992"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rPr>
                <w:b/>
                <w:bCs/>
              </w:rPr>
            </w:pPr>
            <w:r>
              <w:rPr>
                <w:b/>
                <w:bCs/>
              </w:rPr>
              <w:t>89</w:t>
            </w:r>
          </w:p>
        </w:tc>
        <w:tc>
          <w:tcPr>
            <w:tcW w:w="1276" w:type="dxa"/>
            <w:tcBorders>
              <w:top w:val="nil"/>
              <w:left w:val="nil"/>
              <w:bottom w:val="single" w:sz="4" w:space="0" w:color="auto"/>
              <w:right w:val="single" w:sz="4" w:space="0" w:color="auto"/>
            </w:tcBorders>
            <w:shd w:val="clear" w:color="000000" w:fill="FFFFFF"/>
            <w:noWrap/>
            <w:vAlign w:val="bottom"/>
            <w:hideMark/>
          </w:tcPr>
          <w:p w:rsidR="00992886" w:rsidRPr="00A2678C" w:rsidRDefault="00992886" w:rsidP="00757380">
            <w:pPr>
              <w:jc w:val="center"/>
            </w:pPr>
            <w:r w:rsidRPr="00A2678C">
              <w:t> </w:t>
            </w:r>
          </w:p>
        </w:tc>
      </w:tr>
      <w:tr w:rsidR="00992886" w:rsidRPr="00A2678C" w:rsidTr="00757380">
        <w:trPr>
          <w:trHeight w:val="315"/>
        </w:trPr>
        <w:tc>
          <w:tcPr>
            <w:tcW w:w="7522" w:type="dxa"/>
            <w:tcBorders>
              <w:top w:val="nil"/>
              <w:left w:val="nil"/>
              <w:bottom w:val="nil"/>
              <w:right w:val="nil"/>
            </w:tcBorders>
            <w:shd w:val="clear" w:color="000000" w:fill="FFFFFF"/>
            <w:noWrap/>
            <w:vAlign w:val="bottom"/>
            <w:hideMark/>
          </w:tcPr>
          <w:p w:rsidR="00992886" w:rsidRPr="002A6E4F" w:rsidRDefault="00992886" w:rsidP="00757380">
            <w:pPr>
              <w:jc w:val="center"/>
              <w:rPr>
                <w:b/>
                <w:bCs/>
              </w:rPr>
            </w:pPr>
          </w:p>
        </w:tc>
        <w:tc>
          <w:tcPr>
            <w:tcW w:w="992" w:type="dxa"/>
            <w:tcBorders>
              <w:top w:val="nil"/>
              <w:left w:val="nil"/>
              <w:bottom w:val="nil"/>
              <w:right w:val="nil"/>
            </w:tcBorders>
            <w:shd w:val="clear" w:color="000000" w:fill="FFFFFF"/>
            <w:noWrap/>
            <w:vAlign w:val="bottom"/>
            <w:hideMark/>
          </w:tcPr>
          <w:p w:rsidR="00992886" w:rsidRPr="00A2678C" w:rsidRDefault="00992886" w:rsidP="00757380">
            <w:pPr>
              <w:jc w:val="center"/>
              <w:rPr>
                <w:b/>
                <w:bCs/>
              </w:rPr>
            </w:pPr>
            <w:r w:rsidRPr="00A2678C">
              <w:rPr>
                <w:b/>
                <w:bCs/>
              </w:rPr>
              <w:t> </w:t>
            </w:r>
          </w:p>
        </w:tc>
        <w:tc>
          <w:tcPr>
            <w:tcW w:w="1276" w:type="dxa"/>
            <w:tcBorders>
              <w:top w:val="nil"/>
              <w:left w:val="nil"/>
              <w:bottom w:val="nil"/>
              <w:right w:val="nil"/>
            </w:tcBorders>
            <w:shd w:val="clear" w:color="000000" w:fill="FFFFFF"/>
            <w:noWrap/>
            <w:vAlign w:val="bottom"/>
            <w:hideMark/>
          </w:tcPr>
          <w:p w:rsidR="00992886" w:rsidRPr="00A2678C" w:rsidRDefault="00992886" w:rsidP="00757380">
            <w:pPr>
              <w:jc w:val="center"/>
            </w:pPr>
          </w:p>
        </w:tc>
      </w:tr>
    </w:tbl>
    <w:p w:rsidR="00992886" w:rsidRDefault="00992886" w:rsidP="00992886">
      <w:pPr>
        <w:jc w:val="center"/>
        <w:rPr>
          <w:b/>
        </w:rPr>
      </w:pPr>
    </w:p>
    <w:p w:rsidR="00992886" w:rsidRDefault="00992886" w:rsidP="00992886">
      <w:pPr>
        <w:jc w:val="center"/>
        <w:rPr>
          <w:b/>
        </w:rPr>
      </w:pPr>
    </w:p>
    <w:p w:rsidR="00992886" w:rsidRDefault="00992886" w:rsidP="00992886">
      <w:pPr>
        <w:jc w:val="center"/>
        <w:rPr>
          <w:b/>
        </w:rPr>
      </w:pPr>
    </w:p>
    <w:p w:rsidR="00992886" w:rsidRDefault="00992886" w:rsidP="00992886">
      <w:pPr>
        <w:jc w:val="center"/>
        <w:rPr>
          <w:b/>
        </w:rPr>
      </w:pPr>
    </w:p>
    <w:p w:rsidR="00992886" w:rsidRDefault="00992886" w:rsidP="00992886">
      <w:pPr>
        <w:jc w:val="center"/>
        <w:rPr>
          <w:b/>
        </w:rPr>
      </w:pPr>
    </w:p>
    <w:p w:rsidR="00992886" w:rsidRDefault="00992886" w:rsidP="00992886">
      <w:pPr>
        <w:jc w:val="center"/>
        <w:rPr>
          <w:b/>
        </w:rPr>
      </w:pPr>
      <w:r w:rsidRPr="00871146">
        <w:rPr>
          <w:b/>
        </w:rPr>
        <w:lastRenderedPageBreak/>
        <w:t>ANEXO II</w:t>
      </w:r>
    </w:p>
    <w:p w:rsidR="00992886" w:rsidRDefault="00992886" w:rsidP="00992886">
      <w:pPr>
        <w:jc w:val="center"/>
        <w:rPr>
          <w:b/>
        </w:rPr>
      </w:pPr>
    </w:p>
    <w:tbl>
      <w:tblPr>
        <w:tblW w:w="9070" w:type="dxa"/>
        <w:tblInd w:w="61" w:type="dxa"/>
        <w:tblCellMar>
          <w:left w:w="70" w:type="dxa"/>
          <w:right w:w="70" w:type="dxa"/>
        </w:tblCellMar>
        <w:tblLook w:val="04A0" w:firstRow="1" w:lastRow="0" w:firstColumn="1" w:lastColumn="0" w:noHBand="0" w:noVBand="1"/>
      </w:tblPr>
      <w:tblGrid>
        <w:gridCol w:w="6672"/>
        <w:gridCol w:w="1041"/>
        <w:gridCol w:w="1357"/>
      </w:tblGrid>
      <w:tr w:rsidR="00992886" w:rsidRPr="008E685C" w:rsidTr="00757380">
        <w:trPr>
          <w:trHeight w:val="300"/>
        </w:trPr>
        <w:tc>
          <w:tcPr>
            <w:tcW w:w="6672" w:type="dxa"/>
            <w:tcBorders>
              <w:top w:val="nil"/>
              <w:bottom w:val="single" w:sz="4" w:space="0" w:color="auto"/>
            </w:tcBorders>
            <w:shd w:val="clear" w:color="auto" w:fill="auto"/>
            <w:noWrap/>
            <w:vAlign w:val="bottom"/>
            <w:hideMark/>
          </w:tcPr>
          <w:p w:rsidR="00992886" w:rsidRPr="008E685C" w:rsidRDefault="00992886" w:rsidP="00757380">
            <w:pPr>
              <w:suppressAutoHyphens/>
              <w:rPr>
                <w:b/>
                <w:bCs/>
                <w:sz w:val="20"/>
                <w:szCs w:val="20"/>
                <w:lang w:eastAsia="zh-CN"/>
              </w:rPr>
            </w:pPr>
            <w:r w:rsidRPr="008E685C">
              <w:rPr>
                <w:b/>
                <w:bCs/>
                <w:sz w:val="20"/>
                <w:szCs w:val="20"/>
                <w:lang w:eastAsia="zh-CN"/>
              </w:rPr>
              <w:t>Superintendência de Administração e Recursos Humanos – SEARH</w:t>
            </w:r>
          </w:p>
        </w:tc>
        <w:tc>
          <w:tcPr>
            <w:tcW w:w="1041" w:type="dxa"/>
            <w:tcBorders>
              <w:top w:val="nil"/>
              <w:bottom w:val="single" w:sz="4" w:space="0" w:color="auto"/>
            </w:tcBorders>
            <w:shd w:val="clear" w:color="auto" w:fill="auto"/>
            <w:noWrap/>
            <w:vAlign w:val="bottom"/>
            <w:hideMark/>
          </w:tcPr>
          <w:p w:rsidR="00992886" w:rsidRPr="008E685C" w:rsidRDefault="00992886" w:rsidP="00757380">
            <w:pPr>
              <w:suppressAutoHyphens/>
              <w:rPr>
                <w:rFonts w:ascii="Calibri" w:hAnsi="Calibri"/>
                <w:sz w:val="20"/>
                <w:szCs w:val="20"/>
                <w:lang w:eastAsia="zh-CN"/>
              </w:rPr>
            </w:pPr>
            <w:r w:rsidRPr="008E685C">
              <w:rPr>
                <w:rFonts w:ascii="Calibri" w:hAnsi="Calibri"/>
                <w:sz w:val="20"/>
                <w:szCs w:val="20"/>
                <w:lang w:eastAsia="zh-CN"/>
              </w:rPr>
              <w:t> </w:t>
            </w:r>
          </w:p>
        </w:tc>
        <w:tc>
          <w:tcPr>
            <w:tcW w:w="1357" w:type="dxa"/>
            <w:tcBorders>
              <w:top w:val="nil"/>
              <w:bottom w:val="single" w:sz="4" w:space="0" w:color="auto"/>
            </w:tcBorders>
            <w:shd w:val="clear" w:color="auto" w:fill="auto"/>
            <w:noWrap/>
            <w:vAlign w:val="bottom"/>
            <w:hideMark/>
          </w:tcPr>
          <w:p w:rsidR="00992886" w:rsidRPr="008E685C" w:rsidRDefault="00992886" w:rsidP="00757380">
            <w:pPr>
              <w:suppressAutoHyphens/>
              <w:rPr>
                <w:rFonts w:ascii="Calibri" w:hAnsi="Calibri"/>
                <w:sz w:val="20"/>
                <w:szCs w:val="20"/>
                <w:lang w:eastAsia="zh-CN"/>
              </w:rPr>
            </w:pPr>
            <w:r w:rsidRPr="008E685C">
              <w:rPr>
                <w:rFonts w:ascii="Calibri" w:hAnsi="Calibri"/>
                <w:sz w:val="20"/>
                <w:szCs w:val="20"/>
                <w:lang w:eastAsia="zh-CN"/>
              </w:rPr>
              <w:t> </w:t>
            </w:r>
          </w:p>
        </w:tc>
      </w:tr>
      <w:tr w:rsidR="00992886" w:rsidRPr="008E685C" w:rsidTr="00757380">
        <w:trPr>
          <w:trHeight w:val="300"/>
        </w:trPr>
        <w:tc>
          <w:tcPr>
            <w:tcW w:w="66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b/>
                <w:bCs/>
                <w:sz w:val="20"/>
                <w:szCs w:val="20"/>
                <w:lang w:eastAsia="zh-CN"/>
              </w:rPr>
            </w:pPr>
            <w:r w:rsidRPr="008E685C">
              <w:rPr>
                <w:b/>
                <w:bCs/>
                <w:sz w:val="20"/>
                <w:szCs w:val="20"/>
                <w:lang w:eastAsia="zh-CN"/>
              </w:rPr>
              <w:t>Cargo</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b/>
                <w:bCs/>
                <w:sz w:val="20"/>
                <w:szCs w:val="20"/>
                <w:lang w:eastAsia="zh-CN"/>
              </w:rPr>
            </w:pPr>
            <w:r w:rsidRPr="008E685C">
              <w:rPr>
                <w:b/>
                <w:bCs/>
                <w:sz w:val="20"/>
                <w:szCs w:val="20"/>
                <w:lang w:eastAsia="zh-CN"/>
              </w:rPr>
              <w:t>Quant.</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rsidR="00992886" w:rsidRPr="008E685C" w:rsidRDefault="00992886" w:rsidP="00757380">
            <w:pPr>
              <w:suppressAutoHyphens/>
              <w:jc w:val="center"/>
              <w:rPr>
                <w:b/>
                <w:bCs/>
                <w:sz w:val="20"/>
                <w:szCs w:val="20"/>
                <w:lang w:eastAsia="zh-CN"/>
              </w:rPr>
            </w:pPr>
            <w:r w:rsidRPr="008E685C">
              <w:rPr>
                <w:b/>
                <w:bCs/>
                <w:sz w:val="20"/>
                <w:szCs w:val="20"/>
                <w:lang w:eastAsia="zh-CN"/>
              </w:rPr>
              <w:t>Símbolo</w:t>
            </w:r>
          </w:p>
        </w:tc>
      </w:tr>
      <w:tr w:rsidR="00992886" w:rsidRPr="008E685C" w:rsidTr="00757380">
        <w:trPr>
          <w:trHeight w:val="300"/>
        </w:trPr>
        <w:tc>
          <w:tcPr>
            <w:tcW w:w="6672" w:type="dxa"/>
            <w:tcBorders>
              <w:top w:val="nil"/>
              <w:left w:val="single" w:sz="4" w:space="0" w:color="auto"/>
              <w:bottom w:val="single" w:sz="4" w:space="0" w:color="auto"/>
              <w:right w:val="single" w:sz="4" w:space="0" w:color="auto"/>
            </w:tcBorders>
            <w:shd w:val="clear" w:color="auto" w:fill="auto"/>
            <w:noWrap/>
            <w:vAlign w:val="bottom"/>
            <w:hideMark/>
          </w:tcPr>
          <w:p w:rsidR="00992886" w:rsidRPr="008E685C" w:rsidRDefault="00992886" w:rsidP="00757380">
            <w:pPr>
              <w:suppressAutoHyphens/>
              <w:rPr>
                <w:sz w:val="20"/>
                <w:szCs w:val="20"/>
                <w:lang w:eastAsia="zh-CN"/>
              </w:rPr>
            </w:pPr>
            <w:r w:rsidRPr="008E685C">
              <w:rPr>
                <w:sz w:val="20"/>
                <w:szCs w:val="20"/>
                <w:lang w:eastAsia="zh-CN"/>
              </w:rPr>
              <w:t>Chefe de Núcleo de Perícia Médica</w:t>
            </w:r>
          </w:p>
        </w:tc>
        <w:tc>
          <w:tcPr>
            <w:tcW w:w="1041" w:type="dxa"/>
            <w:tcBorders>
              <w:top w:val="nil"/>
              <w:left w:val="nil"/>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sz w:val="20"/>
                <w:szCs w:val="20"/>
                <w:lang w:eastAsia="zh-CN"/>
              </w:rPr>
            </w:pPr>
            <w:proofErr w:type="gramStart"/>
            <w:r w:rsidRPr="008E685C">
              <w:rPr>
                <w:sz w:val="20"/>
                <w:szCs w:val="20"/>
                <w:lang w:eastAsia="zh-CN"/>
              </w:rPr>
              <w:t>4</w:t>
            </w:r>
            <w:proofErr w:type="gramEnd"/>
          </w:p>
        </w:tc>
        <w:tc>
          <w:tcPr>
            <w:tcW w:w="1357" w:type="dxa"/>
            <w:tcBorders>
              <w:top w:val="nil"/>
              <w:left w:val="nil"/>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sz w:val="20"/>
                <w:szCs w:val="20"/>
                <w:lang w:eastAsia="zh-CN"/>
              </w:rPr>
            </w:pPr>
            <w:r w:rsidRPr="008E685C">
              <w:rPr>
                <w:sz w:val="20"/>
                <w:szCs w:val="20"/>
                <w:lang w:eastAsia="zh-CN"/>
              </w:rPr>
              <w:t>FG-4</w:t>
            </w:r>
          </w:p>
        </w:tc>
      </w:tr>
      <w:tr w:rsidR="00992886" w:rsidRPr="008E685C" w:rsidTr="00757380">
        <w:trPr>
          <w:trHeight w:val="30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992886" w:rsidRPr="008E685C" w:rsidRDefault="00992886" w:rsidP="00757380">
            <w:pPr>
              <w:suppressAutoHyphens/>
              <w:rPr>
                <w:sz w:val="20"/>
                <w:szCs w:val="20"/>
                <w:lang w:eastAsia="zh-CN"/>
              </w:rPr>
            </w:pPr>
            <w:r w:rsidRPr="008E685C">
              <w:rPr>
                <w:sz w:val="20"/>
                <w:szCs w:val="20"/>
                <w:lang w:eastAsia="zh-CN"/>
              </w:rPr>
              <w:t>Chefe de Equipe</w:t>
            </w:r>
          </w:p>
        </w:tc>
        <w:tc>
          <w:tcPr>
            <w:tcW w:w="1041" w:type="dxa"/>
            <w:tcBorders>
              <w:top w:val="nil"/>
              <w:left w:val="nil"/>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sz w:val="20"/>
                <w:szCs w:val="20"/>
                <w:lang w:eastAsia="zh-CN"/>
              </w:rPr>
            </w:pPr>
            <w:proofErr w:type="gramStart"/>
            <w:r w:rsidRPr="008E685C">
              <w:rPr>
                <w:sz w:val="20"/>
                <w:szCs w:val="20"/>
                <w:lang w:eastAsia="zh-CN"/>
              </w:rPr>
              <w:t>5</w:t>
            </w:r>
            <w:proofErr w:type="gramEnd"/>
          </w:p>
        </w:tc>
        <w:tc>
          <w:tcPr>
            <w:tcW w:w="1357" w:type="dxa"/>
            <w:tcBorders>
              <w:top w:val="nil"/>
              <w:left w:val="nil"/>
              <w:bottom w:val="single" w:sz="4" w:space="0" w:color="auto"/>
              <w:right w:val="single" w:sz="4" w:space="0" w:color="auto"/>
            </w:tcBorders>
            <w:shd w:val="clear" w:color="auto" w:fill="auto"/>
            <w:noWrap/>
            <w:vAlign w:val="bottom"/>
            <w:hideMark/>
          </w:tcPr>
          <w:p w:rsidR="00992886" w:rsidRPr="008E685C" w:rsidRDefault="00992886" w:rsidP="00757380">
            <w:pPr>
              <w:suppressAutoHyphens/>
              <w:jc w:val="center"/>
              <w:rPr>
                <w:sz w:val="20"/>
                <w:szCs w:val="20"/>
                <w:lang w:eastAsia="zh-CN"/>
              </w:rPr>
            </w:pPr>
            <w:r w:rsidRPr="008E685C">
              <w:rPr>
                <w:sz w:val="20"/>
                <w:szCs w:val="20"/>
                <w:lang w:eastAsia="zh-CN"/>
              </w:rPr>
              <w:t>FG-3</w:t>
            </w:r>
          </w:p>
        </w:tc>
      </w:tr>
      <w:tr w:rsidR="00992886" w:rsidRPr="008E685C" w:rsidTr="00757380">
        <w:trPr>
          <w:trHeight w:val="30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992886" w:rsidRPr="008E685C" w:rsidRDefault="00992886" w:rsidP="00757380">
            <w:pPr>
              <w:suppressAutoHyphens/>
              <w:rPr>
                <w:sz w:val="20"/>
                <w:szCs w:val="20"/>
                <w:lang w:eastAsia="zh-CN"/>
              </w:rPr>
            </w:pPr>
            <w:r w:rsidRPr="008E685C">
              <w:rPr>
                <w:sz w:val="20"/>
                <w:szCs w:val="20"/>
                <w:lang w:eastAsia="zh-CN"/>
              </w:rPr>
              <w:t>Chefe de Equipe I</w:t>
            </w:r>
          </w:p>
        </w:tc>
        <w:tc>
          <w:tcPr>
            <w:tcW w:w="1041" w:type="dxa"/>
            <w:tcBorders>
              <w:top w:val="nil"/>
              <w:left w:val="nil"/>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sz w:val="20"/>
                <w:szCs w:val="20"/>
                <w:lang w:eastAsia="zh-CN"/>
              </w:rPr>
            </w:pPr>
            <w:proofErr w:type="gramStart"/>
            <w:r w:rsidRPr="008E685C">
              <w:rPr>
                <w:sz w:val="20"/>
                <w:szCs w:val="20"/>
                <w:lang w:eastAsia="zh-CN"/>
              </w:rPr>
              <w:t>5</w:t>
            </w:r>
            <w:proofErr w:type="gramEnd"/>
          </w:p>
        </w:tc>
        <w:tc>
          <w:tcPr>
            <w:tcW w:w="1357" w:type="dxa"/>
            <w:tcBorders>
              <w:top w:val="nil"/>
              <w:left w:val="nil"/>
              <w:bottom w:val="single" w:sz="4" w:space="0" w:color="auto"/>
              <w:right w:val="single" w:sz="4" w:space="0" w:color="auto"/>
            </w:tcBorders>
            <w:shd w:val="clear" w:color="auto" w:fill="auto"/>
            <w:noWrap/>
            <w:vAlign w:val="bottom"/>
            <w:hideMark/>
          </w:tcPr>
          <w:p w:rsidR="00992886" w:rsidRPr="008E685C" w:rsidRDefault="00992886" w:rsidP="00757380">
            <w:pPr>
              <w:suppressAutoHyphens/>
              <w:jc w:val="center"/>
              <w:rPr>
                <w:sz w:val="20"/>
                <w:szCs w:val="20"/>
                <w:lang w:eastAsia="zh-CN"/>
              </w:rPr>
            </w:pPr>
            <w:r w:rsidRPr="008E685C">
              <w:rPr>
                <w:sz w:val="20"/>
                <w:szCs w:val="20"/>
                <w:lang w:eastAsia="zh-CN"/>
              </w:rPr>
              <w:t>FG-2</w:t>
            </w:r>
          </w:p>
        </w:tc>
      </w:tr>
      <w:tr w:rsidR="00992886" w:rsidRPr="008E685C" w:rsidTr="00757380">
        <w:trPr>
          <w:trHeight w:val="30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992886" w:rsidRPr="008E685C" w:rsidRDefault="00992886" w:rsidP="00757380">
            <w:pPr>
              <w:suppressAutoHyphens/>
              <w:rPr>
                <w:sz w:val="20"/>
                <w:szCs w:val="20"/>
                <w:lang w:eastAsia="zh-CN"/>
              </w:rPr>
            </w:pPr>
            <w:r w:rsidRPr="008E685C">
              <w:rPr>
                <w:sz w:val="20"/>
                <w:szCs w:val="20"/>
                <w:lang w:eastAsia="zh-CN"/>
              </w:rPr>
              <w:t>Chefe de Equipe II</w:t>
            </w:r>
          </w:p>
        </w:tc>
        <w:tc>
          <w:tcPr>
            <w:tcW w:w="1041" w:type="dxa"/>
            <w:tcBorders>
              <w:top w:val="nil"/>
              <w:left w:val="nil"/>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sz w:val="20"/>
                <w:szCs w:val="20"/>
                <w:lang w:eastAsia="zh-CN"/>
              </w:rPr>
            </w:pPr>
            <w:proofErr w:type="gramStart"/>
            <w:r w:rsidRPr="008E685C">
              <w:rPr>
                <w:sz w:val="20"/>
                <w:szCs w:val="20"/>
                <w:lang w:eastAsia="zh-CN"/>
              </w:rPr>
              <w:t>5</w:t>
            </w:r>
            <w:proofErr w:type="gramEnd"/>
          </w:p>
        </w:tc>
        <w:tc>
          <w:tcPr>
            <w:tcW w:w="1357" w:type="dxa"/>
            <w:tcBorders>
              <w:top w:val="nil"/>
              <w:left w:val="nil"/>
              <w:bottom w:val="single" w:sz="4" w:space="0" w:color="auto"/>
              <w:right w:val="single" w:sz="4" w:space="0" w:color="auto"/>
            </w:tcBorders>
            <w:shd w:val="clear" w:color="auto" w:fill="auto"/>
            <w:noWrap/>
            <w:vAlign w:val="bottom"/>
            <w:hideMark/>
          </w:tcPr>
          <w:p w:rsidR="00992886" w:rsidRPr="008E685C" w:rsidRDefault="00992886" w:rsidP="00757380">
            <w:pPr>
              <w:suppressAutoHyphens/>
              <w:jc w:val="center"/>
              <w:rPr>
                <w:sz w:val="20"/>
                <w:szCs w:val="20"/>
                <w:lang w:eastAsia="zh-CN"/>
              </w:rPr>
            </w:pPr>
            <w:r w:rsidRPr="008E685C">
              <w:rPr>
                <w:sz w:val="20"/>
                <w:szCs w:val="20"/>
                <w:lang w:eastAsia="zh-CN"/>
              </w:rPr>
              <w:t>FG-1</w:t>
            </w:r>
          </w:p>
        </w:tc>
      </w:tr>
      <w:tr w:rsidR="00992886" w:rsidRPr="008E685C" w:rsidTr="00757380">
        <w:trPr>
          <w:trHeight w:val="300"/>
        </w:trPr>
        <w:tc>
          <w:tcPr>
            <w:tcW w:w="6672" w:type="dxa"/>
            <w:tcBorders>
              <w:top w:val="nil"/>
              <w:left w:val="single" w:sz="4" w:space="0" w:color="auto"/>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b/>
                <w:bCs/>
                <w:sz w:val="20"/>
                <w:szCs w:val="20"/>
                <w:lang w:eastAsia="zh-CN"/>
              </w:rPr>
            </w:pPr>
            <w:r w:rsidRPr="008E685C">
              <w:rPr>
                <w:b/>
                <w:bCs/>
                <w:sz w:val="20"/>
                <w:szCs w:val="20"/>
                <w:lang w:eastAsia="zh-CN"/>
              </w:rPr>
              <w:t>TOTAL</w:t>
            </w:r>
          </w:p>
        </w:tc>
        <w:tc>
          <w:tcPr>
            <w:tcW w:w="1041" w:type="dxa"/>
            <w:tcBorders>
              <w:top w:val="nil"/>
              <w:left w:val="nil"/>
              <w:bottom w:val="single" w:sz="4" w:space="0" w:color="auto"/>
              <w:right w:val="single" w:sz="4" w:space="0" w:color="auto"/>
            </w:tcBorders>
            <w:shd w:val="clear" w:color="auto" w:fill="auto"/>
            <w:vAlign w:val="bottom"/>
            <w:hideMark/>
          </w:tcPr>
          <w:p w:rsidR="00992886" w:rsidRPr="008E685C" w:rsidRDefault="00992886" w:rsidP="00757380">
            <w:pPr>
              <w:suppressAutoHyphens/>
              <w:jc w:val="center"/>
              <w:rPr>
                <w:b/>
                <w:bCs/>
                <w:sz w:val="20"/>
                <w:szCs w:val="20"/>
                <w:lang w:eastAsia="zh-CN"/>
              </w:rPr>
            </w:pPr>
            <w:r>
              <w:rPr>
                <w:b/>
                <w:bCs/>
                <w:sz w:val="20"/>
                <w:szCs w:val="20"/>
                <w:lang w:eastAsia="zh-CN"/>
              </w:rPr>
              <w:t>19</w:t>
            </w:r>
          </w:p>
        </w:tc>
        <w:tc>
          <w:tcPr>
            <w:tcW w:w="1357" w:type="dxa"/>
            <w:tcBorders>
              <w:top w:val="nil"/>
              <w:left w:val="nil"/>
              <w:bottom w:val="single" w:sz="4" w:space="0" w:color="auto"/>
              <w:right w:val="single" w:sz="4" w:space="0" w:color="auto"/>
            </w:tcBorders>
            <w:shd w:val="clear" w:color="auto" w:fill="auto"/>
            <w:noWrap/>
            <w:vAlign w:val="bottom"/>
            <w:hideMark/>
          </w:tcPr>
          <w:p w:rsidR="00992886" w:rsidRPr="008E685C" w:rsidRDefault="00992886" w:rsidP="00757380">
            <w:pPr>
              <w:suppressAutoHyphens/>
              <w:rPr>
                <w:rFonts w:ascii="Calibri" w:hAnsi="Calibri"/>
                <w:sz w:val="20"/>
                <w:szCs w:val="20"/>
                <w:lang w:eastAsia="zh-CN"/>
              </w:rPr>
            </w:pPr>
            <w:r w:rsidRPr="008E685C">
              <w:rPr>
                <w:rFonts w:ascii="Calibri" w:hAnsi="Calibri"/>
                <w:sz w:val="20"/>
                <w:szCs w:val="20"/>
                <w:lang w:eastAsia="zh-CN"/>
              </w:rPr>
              <w:t> </w:t>
            </w:r>
          </w:p>
        </w:tc>
      </w:tr>
    </w:tbl>
    <w:p w:rsidR="00992886" w:rsidRPr="00871146" w:rsidRDefault="00992886" w:rsidP="00992886">
      <w:pPr>
        <w:jc w:val="center"/>
        <w:rPr>
          <w:b/>
        </w:rPr>
      </w:pPr>
    </w:p>
    <w:p w:rsidR="00992886" w:rsidRDefault="00992886" w:rsidP="00992886">
      <w:pPr>
        <w:pStyle w:val="Corpodetexto"/>
        <w:jc w:val="center"/>
        <w:rPr>
          <w:b/>
          <w:szCs w:val="26"/>
        </w:rPr>
      </w:pPr>
    </w:p>
    <w:p w:rsidR="00992886" w:rsidRDefault="00992886" w:rsidP="00992886"/>
    <w:p w:rsidR="00992886" w:rsidRDefault="00992886" w:rsidP="00217C87">
      <w:pPr>
        <w:ind w:firstLine="600"/>
        <w:jc w:val="both"/>
      </w:pPr>
    </w:p>
    <w:sectPr w:rsidR="00992886" w:rsidSect="00C5364E">
      <w:headerReference w:type="default" r:id="rId9"/>
      <w:footerReference w:type="default" r:id="rId10"/>
      <w:pgSz w:w="11907" w:h="16840" w:code="9"/>
      <w:pgMar w:top="709" w:right="567" w:bottom="0" w:left="1134" w:header="567"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7A" w:rsidRDefault="00455E7A">
      <w:r>
        <w:separator/>
      </w:r>
    </w:p>
  </w:endnote>
  <w:endnote w:type="continuationSeparator" w:id="0">
    <w:p w:rsidR="00455E7A" w:rsidRDefault="0045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3C4941">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7A" w:rsidRDefault="00455E7A">
      <w:r>
        <w:separator/>
      </w:r>
    </w:p>
  </w:footnote>
  <w:footnote w:type="continuationSeparator" w:id="0">
    <w:p w:rsidR="00455E7A" w:rsidRDefault="00455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76680882"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533FA"/>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1D49"/>
    <w:rsid w:val="00144AD9"/>
    <w:rsid w:val="00145D18"/>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2AA3"/>
    <w:rsid w:val="001E68D2"/>
    <w:rsid w:val="001E7BE2"/>
    <w:rsid w:val="001F1A75"/>
    <w:rsid w:val="001F7CED"/>
    <w:rsid w:val="00201653"/>
    <w:rsid w:val="00203943"/>
    <w:rsid w:val="002077DE"/>
    <w:rsid w:val="0021773A"/>
    <w:rsid w:val="00217C87"/>
    <w:rsid w:val="00223C00"/>
    <w:rsid w:val="00224EBB"/>
    <w:rsid w:val="00232103"/>
    <w:rsid w:val="00241152"/>
    <w:rsid w:val="00245461"/>
    <w:rsid w:val="00245524"/>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D79B9"/>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2D9F"/>
    <w:rsid w:val="0033519F"/>
    <w:rsid w:val="00337275"/>
    <w:rsid w:val="00337D45"/>
    <w:rsid w:val="00340F66"/>
    <w:rsid w:val="0034563E"/>
    <w:rsid w:val="00355916"/>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4941"/>
    <w:rsid w:val="003C6189"/>
    <w:rsid w:val="003C684F"/>
    <w:rsid w:val="003C76E4"/>
    <w:rsid w:val="003D34EE"/>
    <w:rsid w:val="003D6643"/>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35F93"/>
    <w:rsid w:val="004442DA"/>
    <w:rsid w:val="0044676F"/>
    <w:rsid w:val="00455E7A"/>
    <w:rsid w:val="00471C87"/>
    <w:rsid w:val="00472A30"/>
    <w:rsid w:val="00473284"/>
    <w:rsid w:val="00474C0B"/>
    <w:rsid w:val="00475358"/>
    <w:rsid w:val="0047601B"/>
    <w:rsid w:val="00495D2D"/>
    <w:rsid w:val="0049701A"/>
    <w:rsid w:val="004A57DC"/>
    <w:rsid w:val="004A79E9"/>
    <w:rsid w:val="004B4685"/>
    <w:rsid w:val="004C4432"/>
    <w:rsid w:val="004C629B"/>
    <w:rsid w:val="004D3808"/>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3640"/>
    <w:rsid w:val="0056441C"/>
    <w:rsid w:val="00572218"/>
    <w:rsid w:val="005738B5"/>
    <w:rsid w:val="00575C08"/>
    <w:rsid w:val="0058521C"/>
    <w:rsid w:val="00591648"/>
    <w:rsid w:val="00594DF6"/>
    <w:rsid w:val="005A0EB3"/>
    <w:rsid w:val="005A20E8"/>
    <w:rsid w:val="005A4057"/>
    <w:rsid w:val="005A4975"/>
    <w:rsid w:val="005A4E9C"/>
    <w:rsid w:val="005A6F3B"/>
    <w:rsid w:val="005B096C"/>
    <w:rsid w:val="005B45A1"/>
    <w:rsid w:val="005B6B7C"/>
    <w:rsid w:val="005C2210"/>
    <w:rsid w:val="005C4234"/>
    <w:rsid w:val="005C6C17"/>
    <w:rsid w:val="005C7D93"/>
    <w:rsid w:val="005D0F8A"/>
    <w:rsid w:val="005E0CD2"/>
    <w:rsid w:val="005E1B63"/>
    <w:rsid w:val="005E4734"/>
    <w:rsid w:val="005E5AD1"/>
    <w:rsid w:val="005E6BEF"/>
    <w:rsid w:val="005F1233"/>
    <w:rsid w:val="005F2835"/>
    <w:rsid w:val="00600EE2"/>
    <w:rsid w:val="00601C68"/>
    <w:rsid w:val="00603093"/>
    <w:rsid w:val="006046A9"/>
    <w:rsid w:val="0060643C"/>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0EC0"/>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0C51"/>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2A81"/>
    <w:rsid w:val="0073499E"/>
    <w:rsid w:val="00734CB0"/>
    <w:rsid w:val="00746777"/>
    <w:rsid w:val="00752D34"/>
    <w:rsid w:val="0075363F"/>
    <w:rsid w:val="0075397A"/>
    <w:rsid w:val="00753BB5"/>
    <w:rsid w:val="00755207"/>
    <w:rsid w:val="00755267"/>
    <w:rsid w:val="00763D48"/>
    <w:rsid w:val="007670D4"/>
    <w:rsid w:val="007711CE"/>
    <w:rsid w:val="00772C8D"/>
    <w:rsid w:val="00773F94"/>
    <w:rsid w:val="00776436"/>
    <w:rsid w:val="00776944"/>
    <w:rsid w:val="0077729F"/>
    <w:rsid w:val="0078101C"/>
    <w:rsid w:val="007911A4"/>
    <w:rsid w:val="007942D2"/>
    <w:rsid w:val="007A491B"/>
    <w:rsid w:val="007B0EEB"/>
    <w:rsid w:val="007B517F"/>
    <w:rsid w:val="007C0FEC"/>
    <w:rsid w:val="007C23EA"/>
    <w:rsid w:val="007D08DB"/>
    <w:rsid w:val="007D097E"/>
    <w:rsid w:val="007D14E7"/>
    <w:rsid w:val="007E0743"/>
    <w:rsid w:val="007E20F9"/>
    <w:rsid w:val="007E40B0"/>
    <w:rsid w:val="007E5101"/>
    <w:rsid w:val="007E54DD"/>
    <w:rsid w:val="007E55E9"/>
    <w:rsid w:val="007E72A1"/>
    <w:rsid w:val="007F6D82"/>
    <w:rsid w:val="007F7268"/>
    <w:rsid w:val="00801732"/>
    <w:rsid w:val="0080396A"/>
    <w:rsid w:val="008076C8"/>
    <w:rsid w:val="00807BA2"/>
    <w:rsid w:val="00813119"/>
    <w:rsid w:val="008139FD"/>
    <w:rsid w:val="00821827"/>
    <w:rsid w:val="008266D7"/>
    <w:rsid w:val="00826AE7"/>
    <w:rsid w:val="008327AA"/>
    <w:rsid w:val="0083711D"/>
    <w:rsid w:val="008453F0"/>
    <w:rsid w:val="0084669F"/>
    <w:rsid w:val="0085169A"/>
    <w:rsid w:val="0085741B"/>
    <w:rsid w:val="00861536"/>
    <w:rsid w:val="008616E5"/>
    <w:rsid w:val="00864BAE"/>
    <w:rsid w:val="008655F1"/>
    <w:rsid w:val="0087213F"/>
    <w:rsid w:val="00874274"/>
    <w:rsid w:val="00876767"/>
    <w:rsid w:val="0088040B"/>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017"/>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886"/>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526D2"/>
    <w:rsid w:val="00A65E85"/>
    <w:rsid w:val="00A67787"/>
    <w:rsid w:val="00A86355"/>
    <w:rsid w:val="00A876C1"/>
    <w:rsid w:val="00A92066"/>
    <w:rsid w:val="00A92838"/>
    <w:rsid w:val="00A94C99"/>
    <w:rsid w:val="00A9626E"/>
    <w:rsid w:val="00AA034D"/>
    <w:rsid w:val="00AA0602"/>
    <w:rsid w:val="00AA19C7"/>
    <w:rsid w:val="00AA3DDF"/>
    <w:rsid w:val="00AB136F"/>
    <w:rsid w:val="00AB1D3B"/>
    <w:rsid w:val="00AB449B"/>
    <w:rsid w:val="00AB4B30"/>
    <w:rsid w:val="00AB4C76"/>
    <w:rsid w:val="00AB6A01"/>
    <w:rsid w:val="00AC0A58"/>
    <w:rsid w:val="00AC1DCD"/>
    <w:rsid w:val="00AC541C"/>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0CF"/>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1460C"/>
    <w:rsid w:val="00C22E23"/>
    <w:rsid w:val="00C27B3B"/>
    <w:rsid w:val="00C27D3C"/>
    <w:rsid w:val="00C353C6"/>
    <w:rsid w:val="00C364E6"/>
    <w:rsid w:val="00C504B3"/>
    <w:rsid w:val="00C50DEB"/>
    <w:rsid w:val="00C52A60"/>
    <w:rsid w:val="00C5364E"/>
    <w:rsid w:val="00C6294D"/>
    <w:rsid w:val="00C635CA"/>
    <w:rsid w:val="00C746DA"/>
    <w:rsid w:val="00C77CCD"/>
    <w:rsid w:val="00C808B5"/>
    <w:rsid w:val="00C83787"/>
    <w:rsid w:val="00C97048"/>
    <w:rsid w:val="00CA3002"/>
    <w:rsid w:val="00CB3A1C"/>
    <w:rsid w:val="00CB4C12"/>
    <w:rsid w:val="00CB6FA8"/>
    <w:rsid w:val="00CB7640"/>
    <w:rsid w:val="00CC1036"/>
    <w:rsid w:val="00CD23F3"/>
    <w:rsid w:val="00CD406D"/>
    <w:rsid w:val="00CE1AA3"/>
    <w:rsid w:val="00CE4ED8"/>
    <w:rsid w:val="00CE6674"/>
    <w:rsid w:val="00CF335B"/>
    <w:rsid w:val="00CF3A7F"/>
    <w:rsid w:val="00CF3CB6"/>
    <w:rsid w:val="00CF4F5D"/>
    <w:rsid w:val="00CF5D12"/>
    <w:rsid w:val="00CF620E"/>
    <w:rsid w:val="00D01AFC"/>
    <w:rsid w:val="00D032A3"/>
    <w:rsid w:val="00D13DBD"/>
    <w:rsid w:val="00D14F9C"/>
    <w:rsid w:val="00D15A70"/>
    <w:rsid w:val="00D20F26"/>
    <w:rsid w:val="00D22E3E"/>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34F1"/>
    <w:rsid w:val="00E143F9"/>
    <w:rsid w:val="00E20C98"/>
    <w:rsid w:val="00E211D6"/>
    <w:rsid w:val="00E212CB"/>
    <w:rsid w:val="00E239C5"/>
    <w:rsid w:val="00E23C7A"/>
    <w:rsid w:val="00E30056"/>
    <w:rsid w:val="00E34064"/>
    <w:rsid w:val="00E3554E"/>
    <w:rsid w:val="00E35A0C"/>
    <w:rsid w:val="00E40602"/>
    <w:rsid w:val="00E43E0C"/>
    <w:rsid w:val="00E460C4"/>
    <w:rsid w:val="00E5359E"/>
    <w:rsid w:val="00E54891"/>
    <w:rsid w:val="00E5520B"/>
    <w:rsid w:val="00E64FB0"/>
    <w:rsid w:val="00E67A1F"/>
    <w:rsid w:val="00E87CB8"/>
    <w:rsid w:val="00E9341D"/>
    <w:rsid w:val="00E969C2"/>
    <w:rsid w:val="00EA0CB7"/>
    <w:rsid w:val="00EA15C3"/>
    <w:rsid w:val="00EA1647"/>
    <w:rsid w:val="00EA2EBE"/>
    <w:rsid w:val="00EA4707"/>
    <w:rsid w:val="00EA550E"/>
    <w:rsid w:val="00EA7208"/>
    <w:rsid w:val="00EC08DB"/>
    <w:rsid w:val="00EC223C"/>
    <w:rsid w:val="00EC58D0"/>
    <w:rsid w:val="00EC5E79"/>
    <w:rsid w:val="00ED2FBA"/>
    <w:rsid w:val="00ED6E0A"/>
    <w:rsid w:val="00EE7A04"/>
    <w:rsid w:val="00EF5681"/>
    <w:rsid w:val="00F03BAD"/>
    <w:rsid w:val="00F210EA"/>
    <w:rsid w:val="00F25720"/>
    <w:rsid w:val="00F3035B"/>
    <w:rsid w:val="00F30D72"/>
    <w:rsid w:val="00F32678"/>
    <w:rsid w:val="00F35535"/>
    <w:rsid w:val="00F35736"/>
    <w:rsid w:val="00F459C0"/>
    <w:rsid w:val="00F46F67"/>
    <w:rsid w:val="00F537F8"/>
    <w:rsid w:val="00F61AAF"/>
    <w:rsid w:val="00F63359"/>
    <w:rsid w:val="00F66AA3"/>
    <w:rsid w:val="00F70A51"/>
    <w:rsid w:val="00F74E57"/>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6576"/>
    <w:rsid w:val="00FE008D"/>
    <w:rsid w:val="00FE0A2A"/>
    <w:rsid w:val="00FE41F7"/>
    <w:rsid w:val="00FE48FA"/>
    <w:rsid w:val="00FF3279"/>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 w:type="paragraph" w:customStyle="1" w:styleId="Default">
    <w:name w:val="Default"/>
    <w:rsid w:val="007B0EEB"/>
    <w:pPr>
      <w:autoSpaceDE w:val="0"/>
      <w:autoSpaceDN w:val="0"/>
      <w:adjustRightInd w:val="0"/>
    </w:pPr>
    <w:rPr>
      <w:rFonts w:ascii="Arial" w:eastAsia="Calibri" w:hAnsi="Arial" w:cs="Arial"/>
      <w:color w:val="000000"/>
      <w:sz w:val="24"/>
      <w:szCs w:val="24"/>
    </w:rPr>
  </w:style>
  <w:style w:type="character" w:customStyle="1" w:styleId="Legendadatabela">
    <w:name w:val="Legenda da tabela_"/>
    <w:link w:val="Legendadatabela1"/>
    <w:uiPriority w:val="99"/>
    <w:rsid w:val="00992886"/>
    <w:rPr>
      <w:spacing w:val="4"/>
      <w:sz w:val="19"/>
      <w:szCs w:val="19"/>
      <w:shd w:val="clear" w:color="auto" w:fill="FFFFFF"/>
    </w:rPr>
  </w:style>
  <w:style w:type="paragraph" w:customStyle="1" w:styleId="Legendadatabela1">
    <w:name w:val="Legenda da tabela1"/>
    <w:basedOn w:val="Normal"/>
    <w:link w:val="Legendadatabela"/>
    <w:uiPriority w:val="99"/>
    <w:rsid w:val="00992886"/>
    <w:pPr>
      <w:widowControl w:val="0"/>
      <w:shd w:val="clear" w:color="auto" w:fill="FFFFFF"/>
      <w:spacing w:line="275" w:lineRule="exact"/>
    </w:pPr>
    <w:rPr>
      <w:spacing w:val="4"/>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 Char,Char Char4,Char1 Char Char1,Char1 Char Char Char,Char1,Char2,Cabeçalho1,Char1 Char Char2,Char1 Char Char3,Char1 Char Char Char Char Char,Char1 Char Char3 Char Char,Char1 Char Char3 Char Char Char Char,Char1 Char Char3 Char1 Cha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aliases w:val="Char1 Char Char,Char Char4 Char,Char1 Char Char1 Char,Char1 Char Char Char Char,Char1 Char1,Char2 Char,Cabeçalho1 Char,Char1 Char Char2 Char,Char1 Char Char3 Char,Char1 Char Char Char Char Char Char,Char1 Char Char3 Char Char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 w:type="paragraph" w:styleId="Corpodetexto3">
    <w:name w:val="Body Text 3"/>
    <w:basedOn w:val="Normal"/>
    <w:link w:val="Corpodetexto3Char"/>
    <w:uiPriority w:val="99"/>
    <w:unhideWhenUsed/>
    <w:rsid w:val="00BD50CF"/>
    <w:pPr>
      <w:spacing w:after="120"/>
    </w:pPr>
    <w:rPr>
      <w:sz w:val="16"/>
      <w:szCs w:val="16"/>
    </w:rPr>
  </w:style>
  <w:style w:type="character" w:customStyle="1" w:styleId="Corpodetexto3Char">
    <w:name w:val="Corpo de texto 3 Char"/>
    <w:basedOn w:val="Fontepargpadro"/>
    <w:link w:val="Corpodetexto3"/>
    <w:uiPriority w:val="99"/>
    <w:rsid w:val="00BD50CF"/>
    <w:rPr>
      <w:sz w:val="16"/>
      <w:szCs w:val="16"/>
    </w:rPr>
  </w:style>
  <w:style w:type="paragraph" w:customStyle="1" w:styleId="Default">
    <w:name w:val="Default"/>
    <w:rsid w:val="007B0EEB"/>
    <w:pPr>
      <w:autoSpaceDE w:val="0"/>
      <w:autoSpaceDN w:val="0"/>
      <w:adjustRightInd w:val="0"/>
    </w:pPr>
    <w:rPr>
      <w:rFonts w:ascii="Arial" w:eastAsia="Calibri" w:hAnsi="Arial" w:cs="Arial"/>
      <w:color w:val="000000"/>
      <w:sz w:val="24"/>
      <w:szCs w:val="24"/>
    </w:rPr>
  </w:style>
  <w:style w:type="character" w:customStyle="1" w:styleId="Legendadatabela">
    <w:name w:val="Legenda da tabela_"/>
    <w:link w:val="Legendadatabela1"/>
    <w:uiPriority w:val="99"/>
    <w:rsid w:val="00992886"/>
    <w:rPr>
      <w:spacing w:val="4"/>
      <w:sz w:val="19"/>
      <w:szCs w:val="19"/>
      <w:shd w:val="clear" w:color="auto" w:fill="FFFFFF"/>
    </w:rPr>
  </w:style>
  <w:style w:type="paragraph" w:customStyle="1" w:styleId="Legendadatabela1">
    <w:name w:val="Legenda da tabela1"/>
    <w:basedOn w:val="Normal"/>
    <w:link w:val="Legendadatabela"/>
    <w:uiPriority w:val="99"/>
    <w:rsid w:val="00992886"/>
    <w:pPr>
      <w:widowControl w:val="0"/>
      <w:shd w:val="clear" w:color="auto" w:fill="FFFFFF"/>
      <w:spacing w:line="275" w:lineRule="exact"/>
    </w:pPr>
    <w:rPr>
      <w:spacing w:val="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BD09-6E71-4CD7-B11B-A6AC717A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407</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USUARIO</dc:creator>
  <cp:lastModifiedBy>Helder Risler de Oliveira</cp:lastModifiedBy>
  <cp:revision>8</cp:revision>
  <cp:lastPrinted>2014-10-31T11:54:00Z</cp:lastPrinted>
  <dcterms:created xsi:type="dcterms:W3CDTF">2014-09-11T14:43:00Z</dcterms:created>
  <dcterms:modified xsi:type="dcterms:W3CDTF">2014-11-05T12:22:00Z</dcterms:modified>
</cp:coreProperties>
</file>