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A9" w:rsidRPr="002A37A9" w:rsidRDefault="002A37A9" w:rsidP="002A37A9">
      <w:pPr>
        <w:tabs>
          <w:tab w:val="left" w:pos="8931"/>
        </w:tabs>
        <w:jc w:val="center"/>
      </w:pPr>
      <w:r w:rsidRPr="002A37A9">
        <w:t>MENSAGEM N. 160, DE 16 DE JULHO DE 2018.</w:t>
      </w:r>
    </w:p>
    <w:p w:rsidR="002A37A9" w:rsidRPr="002A37A9" w:rsidRDefault="002A37A9" w:rsidP="002A37A9">
      <w:pPr>
        <w:tabs>
          <w:tab w:val="left" w:pos="8931"/>
        </w:tabs>
        <w:ind w:firstLine="2835"/>
        <w:jc w:val="both"/>
      </w:pPr>
    </w:p>
    <w:p w:rsidR="002A37A9" w:rsidRPr="002A37A9" w:rsidRDefault="002A37A9" w:rsidP="002A37A9">
      <w:pPr>
        <w:tabs>
          <w:tab w:val="left" w:pos="8931"/>
        </w:tabs>
        <w:ind w:firstLine="2835"/>
        <w:jc w:val="both"/>
      </w:pPr>
    </w:p>
    <w:p w:rsidR="002A37A9" w:rsidRPr="002A37A9" w:rsidRDefault="002A37A9" w:rsidP="002A37A9">
      <w:pPr>
        <w:tabs>
          <w:tab w:val="left" w:pos="8931"/>
        </w:tabs>
        <w:ind w:firstLine="567"/>
        <w:jc w:val="both"/>
      </w:pPr>
      <w:r w:rsidRPr="002A37A9">
        <w:t>EXCELENTÍSSIMOS SENHORES MEMBROS DA ASSEMBLEIA LEGISLATIVA:</w:t>
      </w:r>
    </w:p>
    <w:p w:rsidR="002A37A9" w:rsidRPr="002A37A9" w:rsidRDefault="002A37A9" w:rsidP="002A37A9">
      <w:pPr>
        <w:tabs>
          <w:tab w:val="left" w:pos="8931"/>
        </w:tabs>
        <w:ind w:firstLine="2835"/>
        <w:jc w:val="both"/>
      </w:pPr>
    </w:p>
    <w:p w:rsidR="002A37A9" w:rsidRPr="002A37A9" w:rsidRDefault="002A37A9" w:rsidP="002A37A9">
      <w:pPr>
        <w:tabs>
          <w:tab w:val="left" w:pos="8931"/>
        </w:tabs>
        <w:ind w:firstLine="2835"/>
        <w:jc w:val="both"/>
      </w:pPr>
    </w:p>
    <w:p w:rsidR="002A37A9" w:rsidRPr="002A37A9" w:rsidRDefault="002A37A9" w:rsidP="002A37A9">
      <w:pPr>
        <w:tabs>
          <w:tab w:val="left" w:pos="8931"/>
        </w:tabs>
        <w:ind w:firstLine="567"/>
        <w:jc w:val="both"/>
      </w:pPr>
      <w:r w:rsidRPr="002A37A9">
        <w:t>Com amparo no artigo 42, § 1º da Constituição do Estado, impõe-me o dever de informar a Vossas Excelências que vetei parcialmente o Projeto de Lei o qual “Dispõe sobre o pagamento de aparelhos de monitoramento eletrônico e dá outras providências.”, encaminhado a este Executivo por meio da Mensagem nº 174/2018-ALE, de 27 de junho de 2018.</w:t>
      </w:r>
    </w:p>
    <w:p w:rsidR="002A37A9" w:rsidRPr="002A37A9" w:rsidRDefault="002A37A9" w:rsidP="002A37A9">
      <w:pPr>
        <w:tabs>
          <w:tab w:val="left" w:pos="8931"/>
        </w:tabs>
        <w:ind w:firstLine="567"/>
        <w:jc w:val="both"/>
      </w:pPr>
    </w:p>
    <w:p w:rsidR="002A37A9" w:rsidRPr="002A37A9" w:rsidRDefault="002A37A9" w:rsidP="002A37A9">
      <w:pPr>
        <w:tabs>
          <w:tab w:val="left" w:pos="8931"/>
        </w:tabs>
        <w:ind w:firstLine="567"/>
        <w:jc w:val="both"/>
      </w:pPr>
      <w:r w:rsidRPr="002A37A9">
        <w:t>Senhores Deputados, o veto parcial ao texto abrange o artigo 2º do Autógrafo de Lei nº 982/2018, vez que decorre de Emenda aposta ao Projeto de Lei de iniciativa deste Poder Executivo, o qual segue transcrito:</w:t>
      </w:r>
    </w:p>
    <w:p w:rsidR="002A37A9" w:rsidRPr="002A37A9" w:rsidRDefault="002A37A9" w:rsidP="002A37A9">
      <w:pPr>
        <w:tabs>
          <w:tab w:val="left" w:pos="8931"/>
        </w:tabs>
        <w:ind w:firstLine="567"/>
        <w:jc w:val="both"/>
        <w:rPr>
          <w:sz w:val="22"/>
          <w:szCs w:val="22"/>
        </w:rPr>
      </w:pPr>
    </w:p>
    <w:p w:rsidR="002A37A9" w:rsidRPr="002A37A9" w:rsidRDefault="002A37A9" w:rsidP="002A37A9">
      <w:pPr>
        <w:tabs>
          <w:tab w:val="left" w:pos="8931"/>
        </w:tabs>
        <w:ind w:left="2268"/>
        <w:jc w:val="both"/>
        <w:rPr>
          <w:sz w:val="22"/>
          <w:szCs w:val="22"/>
        </w:rPr>
      </w:pPr>
      <w:r w:rsidRPr="002A37A9">
        <w:rPr>
          <w:sz w:val="22"/>
          <w:szCs w:val="22"/>
        </w:rPr>
        <w:t>“Art. 2º. Os recursos dispendidos com o pagamento de alimentação dos apenados do Estado de Rondônia serão ressarcidos aos cofres públicos pelos respectivos apenados, nos termos do Decreto Governamental que regulamentará a forma do ressarcimento.”</w:t>
      </w:r>
    </w:p>
    <w:p w:rsidR="002A37A9" w:rsidRPr="002A37A9" w:rsidRDefault="002A37A9" w:rsidP="002A37A9">
      <w:pPr>
        <w:tabs>
          <w:tab w:val="left" w:pos="8931"/>
        </w:tabs>
        <w:ind w:firstLine="567"/>
        <w:jc w:val="both"/>
      </w:pPr>
    </w:p>
    <w:p w:rsidR="002A37A9" w:rsidRPr="002A37A9" w:rsidRDefault="002A37A9" w:rsidP="002A37A9">
      <w:pPr>
        <w:tabs>
          <w:tab w:val="left" w:pos="8931"/>
        </w:tabs>
        <w:ind w:firstLine="567"/>
        <w:jc w:val="both"/>
        <w:rPr>
          <w:color w:val="000000"/>
          <w:spacing w:val="-2"/>
          <w:szCs w:val="22"/>
        </w:rPr>
      </w:pPr>
      <w:r w:rsidRPr="002A37A9">
        <w:rPr>
          <w:i/>
        </w:rPr>
        <w:t>Prima facie</w:t>
      </w:r>
      <w:r w:rsidRPr="002A37A9">
        <w:t xml:space="preserve">, o citado dispositivo </w:t>
      </w:r>
      <w:r w:rsidRPr="002A37A9">
        <w:rPr>
          <w:bCs/>
        </w:rPr>
        <w:t xml:space="preserve">padece de vício formal por afastar-se do tema da propositura original. </w:t>
      </w:r>
      <w:r w:rsidRPr="002A37A9">
        <w:rPr>
          <w:color w:val="000000"/>
          <w:spacing w:val="-2"/>
          <w:szCs w:val="22"/>
        </w:rPr>
        <w:t>Nesse sentido, o Supremo Tribunal Federal - STF já sedimentou a orientação quanto à inconstitucionalidade de emenda do Poder Legislativo que não guarde pertinência temática com a matéria inicial. Vejamos:</w:t>
      </w:r>
    </w:p>
    <w:p w:rsidR="002A37A9" w:rsidRPr="002A37A9" w:rsidRDefault="002A37A9" w:rsidP="002A37A9">
      <w:pPr>
        <w:tabs>
          <w:tab w:val="left" w:pos="8931"/>
        </w:tabs>
        <w:ind w:firstLine="567"/>
        <w:jc w:val="both"/>
        <w:rPr>
          <w:bCs/>
        </w:rPr>
      </w:pPr>
    </w:p>
    <w:p w:rsidR="002A37A9" w:rsidRPr="002A37A9" w:rsidRDefault="002A37A9" w:rsidP="002A37A9">
      <w:pPr>
        <w:ind w:left="2268"/>
        <w:jc w:val="both"/>
        <w:rPr>
          <w:sz w:val="22"/>
          <w:szCs w:val="22"/>
        </w:rPr>
      </w:pPr>
      <w:r w:rsidRPr="002A37A9">
        <w:rPr>
          <w:sz w:val="22"/>
          <w:szCs w:val="22"/>
        </w:rPr>
        <w:t xml:space="preserve">Emenda parlamentar e pertinência temática. O Plenário julgou procedente pedido formulado em ação direta para declarar a inconstitucionalidade do art. 2º da LC 376/2007 do Estado de Santa Catarina. Na espécie, em projeto de iniciativa do governador do referido Estado-Membro (CF, art. 61, § 1º, II, a), a assembleia legislativa aprovara emenda aditiva sem pertinência com a proposição inicial do chefe do Poder Executivo. Assim, a referida emenda aditiva - formalizada no curso da tramitação de projeto de lei complementar que visava a criação de funções comissionadas no âmbito da Secretaria de Estado de Educação, Ciência e Tecnologia - impusera ao governador o reenquadramento de servidores do Instituto de Previdência estadual. </w:t>
      </w:r>
      <w:r w:rsidRPr="002A37A9">
        <w:rPr>
          <w:b/>
          <w:sz w:val="22"/>
          <w:szCs w:val="22"/>
        </w:rPr>
        <w:t>A Corte afirmou que a ausência de pertinência temática de emenda da Casa Legislativa a projeto de lei de iniciativa exclusiva do Executivo levaria a concluir-se pela sua inconstitucionalidade formal.</w:t>
      </w:r>
      <w:r w:rsidRPr="002A37A9">
        <w:rPr>
          <w:sz w:val="22"/>
          <w:szCs w:val="22"/>
        </w:rPr>
        <w:t xml:space="preserve"> Ademais, aplicar-se-ia ao caso o teor do Enunciado 685 da Súmula do STF, no sentido de ser inconstitucional toda modalidade de provimento que propiciasse ao servidor investir-se, sem prévia aprovação em concurso público, em cargo que não integrasse a carreira na qual anteriormente investido. ADI 3926/SC, rel. Min. Marco Aurélio, 5.8.2015. (ADI-3926) (Informativo 793, Plenário). (Destaquei).</w:t>
      </w:r>
    </w:p>
    <w:p w:rsidR="002A37A9" w:rsidRPr="002A37A9" w:rsidRDefault="002A37A9" w:rsidP="002A37A9">
      <w:pPr>
        <w:ind w:left="2268"/>
        <w:jc w:val="both"/>
        <w:rPr>
          <w:color w:val="000000"/>
          <w:sz w:val="22"/>
          <w:szCs w:val="22"/>
        </w:rPr>
      </w:pPr>
    </w:p>
    <w:p w:rsidR="002A37A9" w:rsidRPr="002A37A9" w:rsidRDefault="002A37A9" w:rsidP="002A37A9">
      <w:pPr>
        <w:ind w:firstLine="567"/>
        <w:jc w:val="both"/>
        <w:rPr>
          <w:bCs/>
          <w:color w:val="000000"/>
        </w:rPr>
      </w:pPr>
      <w:r w:rsidRPr="002A37A9">
        <w:rPr>
          <w:bCs/>
          <w:color w:val="000000"/>
        </w:rPr>
        <w:t xml:space="preserve">Ademais, visualiza-se no mérito a existência de matéria regulamentada pela Lei Federal nº 7.210, de 11 de julho de 1984, que “Institui a Lei de Execução Penal.”, designada para dispor sobre cumprimento da pena, conforme artigo 5º, inciso XLVI c/c artigo 22, I da Carta Magna, </w:t>
      </w:r>
      <w:r w:rsidRPr="002A37A9">
        <w:rPr>
          <w:bCs/>
          <w:i/>
          <w:color w:val="000000"/>
        </w:rPr>
        <w:t xml:space="preserve">in </w:t>
      </w:r>
      <w:proofErr w:type="spellStart"/>
      <w:r w:rsidRPr="002A37A9">
        <w:rPr>
          <w:bCs/>
          <w:i/>
          <w:color w:val="000000"/>
        </w:rPr>
        <w:t>verbis</w:t>
      </w:r>
      <w:proofErr w:type="spellEnd"/>
      <w:r w:rsidRPr="002A37A9">
        <w:rPr>
          <w:bCs/>
          <w:color w:val="000000"/>
        </w:rPr>
        <w:t>:</w:t>
      </w:r>
    </w:p>
    <w:p w:rsidR="002A37A9" w:rsidRPr="002A37A9" w:rsidRDefault="002A37A9" w:rsidP="002A37A9">
      <w:pPr>
        <w:ind w:firstLine="567"/>
        <w:jc w:val="both"/>
        <w:rPr>
          <w:bCs/>
          <w:color w:val="000000"/>
        </w:rPr>
      </w:pPr>
    </w:p>
    <w:p w:rsidR="002A37A9" w:rsidRPr="002A37A9" w:rsidRDefault="002A37A9" w:rsidP="002A37A9">
      <w:pPr>
        <w:tabs>
          <w:tab w:val="left" w:pos="8931"/>
        </w:tabs>
        <w:ind w:left="2268"/>
        <w:jc w:val="both"/>
        <w:rPr>
          <w:sz w:val="22"/>
          <w:szCs w:val="22"/>
        </w:rPr>
      </w:pPr>
      <w:r w:rsidRPr="002A37A9">
        <w:rPr>
          <w:color w:val="000000"/>
          <w:sz w:val="22"/>
          <w:szCs w:val="22"/>
          <w:shd w:val="clear" w:color="auto" w:fill="FFFFFF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0" w:name="5XLVI"/>
      <w:bookmarkEnd w:id="0"/>
      <w:r w:rsidRPr="002A37A9">
        <w:rPr>
          <w:color w:val="000000"/>
          <w:sz w:val="22"/>
          <w:szCs w:val="22"/>
        </w:rPr>
        <w:t>XLVI - a lei regulará a individualização da pena e adotará, entre outras, as seguintes:</w:t>
      </w: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1" w:name="art5xlvia"/>
      <w:bookmarkEnd w:id="1"/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2" w:name="5XLVIA"/>
      <w:bookmarkEnd w:id="2"/>
      <w:r w:rsidRPr="002A37A9">
        <w:rPr>
          <w:color w:val="000000"/>
          <w:sz w:val="22"/>
          <w:szCs w:val="22"/>
        </w:rPr>
        <w:t>a) privação ou restrição da liberdade;</w:t>
      </w: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3" w:name="art5xlvib"/>
      <w:bookmarkStart w:id="4" w:name="5XLVIB"/>
      <w:bookmarkEnd w:id="3"/>
      <w:bookmarkEnd w:id="4"/>
      <w:r w:rsidRPr="002A37A9">
        <w:rPr>
          <w:color w:val="000000"/>
          <w:sz w:val="22"/>
          <w:szCs w:val="22"/>
        </w:rPr>
        <w:lastRenderedPageBreak/>
        <w:t>b) perda de bens;</w:t>
      </w: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5" w:name="art5xlvic"/>
      <w:bookmarkEnd w:id="5"/>
    </w:p>
    <w:p w:rsidR="002A37A9" w:rsidRPr="002A37A9" w:rsidRDefault="002A37A9" w:rsidP="002A37A9">
      <w:pPr>
        <w:widowControl w:val="0"/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6" w:name="5XLVIC"/>
      <w:bookmarkEnd w:id="6"/>
      <w:r w:rsidRPr="002A37A9">
        <w:rPr>
          <w:color w:val="000000"/>
          <w:sz w:val="22"/>
          <w:szCs w:val="22"/>
        </w:rPr>
        <w:t>c) multa;</w:t>
      </w:r>
    </w:p>
    <w:p w:rsidR="002A37A9" w:rsidRPr="002A37A9" w:rsidRDefault="002A37A9" w:rsidP="002A37A9">
      <w:pPr>
        <w:widowControl w:val="0"/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7" w:name="art5xlvid"/>
      <w:bookmarkStart w:id="8" w:name="5XLVID"/>
      <w:bookmarkEnd w:id="7"/>
      <w:bookmarkEnd w:id="8"/>
    </w:p>
    <w:p w:rsidR="002A37A9" w:rsidRPr="002A37A9" w:rsidRDefault="002A37A9" w:rsidP="002A37A9">
      <w:pPr>
        <w:widowControl w:val="0"/>
        <w:shd w:val="clear" w:color="auto" w:fill="FFFFFF"/>
        <w:ind w:left="2268"/>
        <w:jc w:val="both"/>
        <w:rPr>
          <w:color w:val="000000"/>
          <w:sz w:val="22"/>
          <w:szCs w:val="22"/>
        </w:rPr>
      </w:pPr>
      <w:r w:rsidRPr="002A37A9">
        <w:rPr>
          <w:color w:val="000000"/>
          <w:sz w:val="22"/>
          <w:szCs w:val="22"/>
        </w:rPr>
        <w:t>d) prestação social alternativa;</w:t>
      </w:r>
    </w:p>
    <w:p w:rsidR="002A37A9" w:rsidRPr="002A37A9" w:rsidRDefault="002A37A9" w:rsidP="002A37A9">
      <w:pPr>
        <w:ind w:left="2268"/>
        <w:jc w:val="both"/>
        <w:rPr>
          <w:color w:val="000000"/>
          <w:sz w:val="22"/>
          <w:szCs w:val="22"/>
        </w:rPr>
      </w:pPr>
      <w:bookmarkStart w:id="9" w:name="art5xlvie"/>
      <w:bookmarkStart w:id="10" w:name="5XLVIE"/>
      <w:bookmarkEnd w:id="9"/>
      <w:bookmarkEnd w:id="10"/>
    </w:p>
    <w:p w:rsidR="002A37A9" w:rsidRPr="002A37A9" w:rsidRDefault="002A37A9" w:rsidP="002A37A9">
      <w:pPr>
        <w:ind w:left="2268"/>
        <w:jc w:val="both"/>
        <w:rPr>
          <w:color w:val="000000"/>
        </w:rPr>
      </w:pPr>
      <w:r w:rsidRPr="002A37A9">
        <w:rPr>
          <w:color w:val="000000"/>
          <w:sz w:val="22"/>
          <w:szCs w:val="22"/>
        </w:rPr>
        <w:t>e) suspensão ou interdição de direitos;</w:t>
      </w: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r w:rsidRPr="002A37A9">
        <w:rPr>
          <w:color w:val="000000"/>
          <w:sz w:val="22"/>
          <w:szCs w:val="22"/>
        </w:rPr>
        <w:t>Art. 22. Compete privativamente à União legislar sobre:</w:t>
      </w:r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bookmarkStart w:id="11" w:name="cfart22i"/>
      <w:bookmarkEnd w:id="11"/>
    </w:p>
    <w:p w:rsidR="002A37A9" w:rsidRPr="002A37A9" w:rsidRDefault="002A37A9" w:rsidP="002A37A9">
      <w:pPr>
        <w:shd w:val="clear" w:color="auto" w:fill="FFFFFF"/>
        <w:ind w:left="2268"/>
        <w:jc w:val="both"/>
        <w:rPr>
          <w:color w:val="000000"/>
          <w:sz w:val="22"/>
          <w:szCs w:val="22"/>
        </w:rPr>
      </w:pPr>
      <w:r w:rsidRPr="002A37A9">
        <w:rPr>
          <w:color w:val="000000"/>
          <w:sz w:val="22"/>
          <w:szCs w:val="22"/>
        </w:rPr>
        <w:t>I - direito civil, comercial, penal, processual, eleitoral, agrário, marítimo, aeronáutico, espacial e do trabalho;</w:t>
      </w:r>
    </w:p>
    <w:p w:rsidR="002A37A9" w:rsidRPr="002A37A9" w:rsidRDefault="002A37A9" w:rsidP="002A37A9">
      <w:pPr>
        <w:ind w:firstLine="567"/>
        <w:jc w:val="both"/>
        <w:rPr>
          <w:bCs/>
          <w:color w:val="000000"/>
        </w:rPr>
      </w:pPr>
    </w:p>
    <w:p w:rsidR="002A37A9" w:rsidRPr="002A37A9" w:rsidRDefault="002A37A9" w:rsidP="002A37A9">
      <w:pPr>
        <w:ind w:firstLine="567"/>
        <w:jc w:val="both"/>
        <w:rPr>
          <w:bCs/>
          <w:color w:val="000000"/>
        </w:rPr>
      </w:pPr>
      <w:r w:rsidRPr="002A37A9">
        <w:rPr>
          <w:bCs/>
          <w:color w:val="000000"/>
        </w:rPr>
        <w:t>Destaco, ainda, que o inciso VIII do artigo 39 da Lei Execução Penal preceitua ser um dos deveres do condenado indenizar ao Estado, quando possível, das despesas realizadas com a sua manutenção, mediante desconto proporcional da remuneração do trabalho.</w:t>
      </w:r>
    </w:p>
    <w:p w:rsidR="002A37A9" w:rsidRPr="002A37A9" w:rsidRDefault="002A37A9" w:rsidP="002A37A9">
      <w:pPr>
        <w:ind w:firstLine="567"/>
        <w:jc w:val="both"/>
        <w:rPr>
          <w:bCs/>
          <w:i/>
          <w:color w:val="000000"/>
        </w:rPr>
      </w:pPr>
    </w:p>
    <w:p w:rsidR="002A37A9" w:rsidRPr="002A37A9" w:rsidRDefault="002A37A9" w:rsidP="002A37A9">
      <w:pPr>
        <w:shd w:val="clear" w:color="auto" w:fill="FFFFFF"/>
        <w:ind w:firstLine="567"/>
        <w:jc w:val="both"/>
        <w:rPr>
          <w:bCs/>
          <w:color w:val="000000"/>
        </w:rPr>
      </w:pPr>
      <w:r w:rsidRPr="002A37A9">
        <w:rPr>
          <w:bCs/>
          <w:color w:val="000000"/>
        </w:rPr>
        <w:t>Imperioso dizer que o produto da remuneração deve atender à indenização dos danos gerados pelo delito, à assistência à família, a pequenas despesas do preso e ao ressarcimento ao Estado das despesas realizadas com a sua manutenção no presídio e o que restar será depositado para a formação de um pecúlio a ser entregue ao condenado que re</w:t>
      </w:r>
      <w:r w:rsidRPr="002A37A9">
        <w:rPr>
          <w:bCs/>
        </w:rPr>
        <w:t xml:space="preserve">tornar </w:t>
      </w:r>
      <w:r w:rsidRPr="002A37A9">
        <w:rPr>
          <w:bCs/>
          <w:color w:val="000000"/>
        </w:rPr>
        <w:t>à liberdade, nos termos dos §§ 1º e 2º do artigo 29 da Lei Federal nº 7.210, de 1984.</w:t>
      </w:r>
    </w:p>
    <w:p w:rsidR="002A37A9" w:rsidRPr="002A37A9" w:rsidRDefault="002A37A9" w:rsidP="002A37A9">
      <w:pPr>
        <w:shd w:val="clear" w:color="auto" w:fill="FFFFFF"/>
        <w:ind w:firstLine="567"/>
        <w:jc w:val="both"/>
        <w:rPr>
          <w:bCs/>
          <w:color w:val="000000"/>
        </w:rPr>
      </w:pPr>
    </w:p>
    <w:p w:rsidR="002A37A9" w:rsidRPr="002A37A9" w:rsidRDefault="002A37A9" w:rsidP="002A37A9">
      <w:pPr>
        <w:shd w:val="clear" w:color="auto" w:fill="FFFFFF"/>
        <w:ind w:right="-1" w:firstLine="567"/>
        <w:jc w:val="both"/>
      </w:pPr>
      <w:r w:rsidRPr="002A37A9">
        <w:t>Ante o exposto, impõe-se a necessidade de veto parcial, tendo em vista ser a inequívoca inconstitucionalidade formal, por tratar-se de matéria estranha ao Projeto de Lei encaminhado a essa Casa.</w:t>
      </w:r>
    </w:p>
    <w:p w:rsidR="002A37A9" w:rsidRPr="002A37A9" w:rsidRDefault="002A37A9" w:rsidP="002A37A9">
      <w:pPr>
        <w:shd w:val="clear" w:color="auto" w:fill="FFFFFF"/>
        <w:ind w:right="-1" w:firstLine="567"/>
        <w:jc w:val="both"/>
      </w:pPr>
    </w:p>
    <w:p w:rsidR="002A37A9" w:rsidRPr="002A37A9" w:rsidRDefault="002A37A9" w:rsidP="002A37A9">
      <w:pPr>
        <w:shd w:val="clear" w:color="auto" w:fill="FFFFFF"/>
        <w:ind w:right="-1" w:firstLine="567"/>
        <w:jc w:val="both"/>
      </w:pPr>
      <w:r w:rsidRPr="002A37A9">
        <w:t>Certo de ser honrado com a elevada compreensão de Vossas Excelências, e consequentemente com a pronta aprovação do mencionado veto parcial, antecipo sinceros agradecimentos pelo imprescindível apoio, subscrevendo-me com especial estima e consideração.</w:t>
      </w:r>
    </w:p>
    <w:p w:rsidR="002A37A9" w:rsidRPr="002A37A9" w:rsidRDefault="002A37A9" w:rsidP="002A37A9">
      <w:pPr>
        <w:tabs>
          <w:tab w:val="left" w:pos="8931"/>
        </w:tabs>
        <w:jc w:val="center"/>
      </w:pPr>
    </w:p>
    <w:p w:rsidR="002A37A9" w:rsidRPr="002A37A9" w:rsidRDefault="002A37A9" w:rsidP="002A37A9">
      <w:pPr>
        <w:tabs>
          <w:tab w:val="left" w:pos="8931"/>
        </w:tabs>
        <w:jc w:val="center"/>
      </w:pPr>
    </w:p>
    <w:p w:rsidR="002A37A9" w:rsidRPr="002A37A9" w:rsidRDefault="002A37A9" w:rsidP="002A37A9">
      <w:pPr>
        <w:jc w:val="center"/>
      </w:pPr>
    </w:p>
    <w:p w:rsidR="002A37A9" w:rsidRPr="002A37A9" w:rsidRDefault="002A37A9" w:rsidP="002A37A9">
      <w:pPr>
        <w:tabs>
          <w:tab w:val="left" w:pos="8931"/>
        </w:tabs>
        <w:jc w:val="center"/>
        <w:rPr>
          <w:b/>
        </w:rPr>
      </w:pPr>
      <w:r w:rsidRPr="002A37A9">
        <w:rPr>
          <w:b/>
        </w:rPr>
        <w:t>DANIEL PEREIRA</w:t>
      </w:r>
    </w:p>
    <w:p w:rsidR="002A37A9" w:rsidRPr="002A37A9" w:rsidRDefault="002A37A9" w:rsidP="002A37A9">
      <w:pPr>
        <w:tabs>
          <w:tab w:val="left" w:pos="8931"/>
        </w:tabs>
        <w:jc w:val="center"/>
      </w:pPr>
      <w:r w:rsidRPr="002A37A9">
        <w:t>Governador</w:t>
      </w: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 w:rsidR="002A37A9" w:rsidRDefault="002A37A9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461" w:rsidRPr="00A523FC" w:rsidRDefault="00594477" w:rsidP="006B046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23FC">
        <w:rPr>
          <w:rFonts w:ascii="Times New Roman" w:hAnsi="Times New Roman"/>
          <w:sz w:val="24"/>
          <w:szCs w:val="24"/>
        </w:rPr>
        <w:lastRenderedPageBreak/>
        <w:t>LEI N.</w:t>
      </w:r>
      <w:r w:rsidR="00362CA6">
        <w:rPr>
          <w:rFonts w:ascii="Times New Roman" w:hAnsi="Times New Roman"/>
          <w:sz w:val="24"/>
          <w:szCs w:val="24"/>
        </w:rPr>
        <w:t xml:space="preserve"> 4.335</w:t>
      </w:r>
      <w:r w:rsidRPr="00A523FC">
        <w:rPr>
          <w:rFonts w:ascii="Times New Roman" w:hAnsi="Times New Roman"/>
          <w:sz w:val="24"/>
          <w:szCs w:val="24"/>
        </w:rPr>
        <w:t>, DE</w:t>
      </w:r>
      <w:r w:rsidR="00362CA6">
        <w:rPr>
          <w:rFonts w:ascii="Times New Roman" w:hAnsi="Times New Roman"/>
          <w:sz w:val="24"/>
          <w:szCs w:val="24"/>
        </w:rPr>
        <w:t xml:space="preserve"> 16 </w:t>
      </w:r>
      <w:r w:rsidRPr="00A523FC">
        <w:rPr>
          <w:rFonts w:ascii="Times New Roman" w:hAnsi="Times New Roman"/>
          <w:sz w:val="24"/>
          <w:szCs w:val="24"/>
        </w:rPr>
        <w:t>DE JULHO DE 2018.</w:t>
      </w:r>
    </w:p>
    <w:p w:rsidR="006B0461" w:rsidRPr="00A523FC" w:rsidRDefault="006B0461" w:rsidP="006B046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461" w:rsidRPr="00A523FC" w:rsidRDefault="00A523FC" w:rsidP="00594477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A523FC">
        <w:rPr>
          <w:rFonts w:ascii="Times New Roman" w:hAnsi="Times New Roman"/>
          <w:sz w:val="24"/>
          <w:szCs w:val="24"/>
        </w:rPr>
        <w:t>Dispõe sobre o pagamento de aparelhos de monitoramento eletrônico e dá outras providências.</w:t>
      </w:r>
    </w:p>
    <w:p w:rsidR="006B0461" w:rsidRPr="00A523FC" w:rsidRDefault="006B0461" w:rsidP="006B0461">
      <w:pPr>
        <w:ind w:firstLine="561"/>
        <w:jc w:val="both"/>
        <w:rPr>
          <w:b/>
        </w:rPr>
      </w:pPr>
    </w:p>
    <w:p w:rsidR="00594477" w:rsidRPr="00A523FC" w:rsidRDefault="00594477" w:rsidP="00594477">
      <w:pPr>
        <w:ind w:firstLine="561"/>
        <w:jc w:val="both"/>
      </w:pPr>
      <w:r w:rsidRPr="00A523FC">
        <w:t>O GOVERNADOR DO ESTADO DE RONDÔNIA:</w:t>
      </w:r>
    </w:p>
    <w:p w:rsidR="006B0461" w:rsidRPr="00A523FC" w:rsidRDefault="00594477" w:rsidP="00594477">
      <w:pPr>
        <w:ind w:firstLine="561"/>
        <w:jc w:val="both"/>
      </w:pPr>
      <w:r w:rsidRPr="00A523FC">
        <w:t>Faço saber que a Assembleia Legislativa decreta e eu sanciono a seguinte Lei:</w:t>
      </w:r>
    </w:p>
    <w:p w:rsidR="006B0461" w:rsidRPr="00A523FC" w:rsidRDefault="006B0461" w:rsidP="006B0461">
      <w:pPr>
        <w:ind w:firstLine="561"/>
        <w:jc w:val="both"/>
      </w:pP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  <w:r w:rsidRPr="00A523FC">
        <w:rPr>
          <w:sz w:val="24"/>
          <w:szCs w:val="24"/>
          <w:lang w:val="pt-BR"/>
        </w:rPr>
        <w:t>Art. 1º. Fica estabelecido que a pessoa em monitoramento eletrônico deverá arcar, às suas expensas, com as despesas pela cessão onerosa do equipamento e com as de sua manutenção.</w:t>
      </w: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  <w:r w:rsidRPr="00A523FC">
        <w:rPr>
          <w:sz w:val="24"/>
          <w:szCs w:val="24"/>
          <w:lang w:val="pt-BR"/>
        </w:rPr>
        <w:t>§ 1º.</w:t>
      </w:r>
      <w:r w:rsidR="001F7E39">
        <w:rPr>
          <w:sz w:val="24"/>
          <w:szCs w:val="24"/>
          <w:lang w:val="pt-BR"/>
        </w:rPr>
        <w:t xml:space="preserve"> </w:t>
      </w:r>
      <w:r w:rsidR="004C448D">
        <w:rPr>
          <w:sz w:val="24"/>
          <w:szCs w:val="24"/>
          <w:lang w:val="pt-BR"/>
        </w:rPr>
        <w:t>O Estado providenciará, no prazo de 48h (quarenta e oito horas), a instalação do equipamento de monitoramento após o recolhimento do valor fixado</w:t>
      </w:r>
      <w:r w:rsidRPr="00A523FC">
        <w:rPr>
          <w:sz w:val="24"/>
          <w:szCs w:val="24"/>
          <w:lang w:val="pt-BR"/>
        </w:rPr>
        <w:t>.</w:t>
      </w: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  <w:r w:rsidRPr="00A523FC">
        <w:rPr>
          <w:sz w:val="24"/>
          <w:szCs w:val="24"/>
          <w:lang w:val="pt-BR"/>
        </w:rPr>
        <w:t>§ 2º. Ao final do cumprimento da medida restritiva de direito, o preso ou apenado restituirá o equipamento ao Estado, em perfeitas condições de uso e sem qualquer ônus, sob pena de responsabilização.</w:t>
      </w: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  <w:r w:rsidRPr="00A523FC">
        <w:rPr>
          <w:sz w:val="24"/>
          <w:szCs w:val="24"/>
          <w:lang w:val="pt-BR"/>
        </w:rPr>
        <w:t>§ 3º. O beneficiário da Lei Federal nº 1.060, de 5 de fevereiro de 1950, terá o equipamento fornecido pelo Estado de forma gratuita.</w:t>
      </w: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</w:p>
    <w:p w:rsidR="00A523FC" w:rsidRPr="004C448D" w:rsidRDefault="00A523FC" w:rsidP="00A523FC">
      <w:pPr>
        <w:pStyle w:val="Textolegal"/>
        <w:ind w:firstLine="567"/>
        <w:rPr>
          <w:sz w:val="24"/>
          <w:szCs w:val="24"/>
          <w:lang w:val="en-US"/>
        </w:rPr>
      </w:pPr>
      <w:r w:rsidRPr="004C448D">
        <w:rPr>
          <w:sz w:val="24"/>
          <w:szCs w:val="24"/>
          <w:lang w:val="en-US"/>
        </w:rPr>
        <w:t>Art. 2º. VETADO.</w:t>
      </w:r>
    </w:p>
    <w:p w:rsidR="00A523FC" w:rsidRPr="004C448D" w:rsidRDefault="00A523FC" w:rsidP="00A523FC">
      <w:pPr>
        <w:pStyle w:val="Textolegal"/>
        <w:ind w:firstLine="567"/>
        <w:rPr>
          <w:sz w:val="24"/>
          <w:szCs w:val="24"/>
          <w:lang w:val="en-US"/>
        </w:rPr>
      </w:pP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  <w:r w:rsidRPr="004C448D">
        <w:rPr>
          <w:sz w:val="24"/>
          <w:szCs w:val="24"/>
          <w:lang w:val="en-US"/>
        </w:rPr>
        <w:t xml:space="preserve">Art. 3º. </w:t>
      </w:r>
      <w:r w:rsidRPr="00A523FC">
        <w:rPr>
          <w:sz w:val="24"/>
          <w:szCs w:val="24"/>
          <w:lang w:val="pt-BR"/>
        </w:rPr>
        <w:t>O Poder Executivo regulamentará a presente Lei no prazo de 90 (noventa) dias.</w:t>
      </w: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</w:p>
    <w:p w:rsidR="00A523FC" w:rsidRPr="00A523FC" w:rsidRDefault="00A523FC" w:rsidP="00A523FC">
      <w:pPr>
        <w:pStyle w:val="Textolegal"/>
        <w:ind w:firstLine="567"/>
        <w:rPr>
          <w:sz w:val="24"/>
          <w:szCs w:val="24"/>
          <w:lang w:val="pt-BR"/>
        </w:rPr>
      </w:pPr>
      <w:r w:rsidRPr="00A523FC">
        <w:rPr>
          <w:sz w:val="24"/>
          <w:szCs w:val="24"/>
          <w:lang w:val="pt-BR"/>
        </w:rPr>
        <w:t>Art. 4º. Esta Lei entra em vigor na data de sua publicação.</w:t>
      </w:r>
    </w:p>
    <w:p w:rsidR="006B0461" w:rsidRPr="00A523FC" w:rsidRDefault="006B0461" w:rsidP="006B0461">
      <w:pPr>
        <w:ind w:firstLine="561"/>
        <w:jc w:val="both"/>
      </w:pPr>
    </w:p>
    <w:p w:rsidR="00594477" w:rsidRPr="00A523FC" w:rsidRDefault="00594477" w:rsidP="00594477">
      <w:pPr>
        <w:ind w:firstLine="567"/>
        <w:jc w:val="both"/>
      </w:pPr>
      <w:r w:rsidRPr="00A523FC">
        <w:t>Palácio do Governo do Estado de Rondônia, em</w:t>
      </w:r>
      <w:r w:rsidR="00362CA6">
        <w:t xml:space="preserve"> 16 </w:t>
      </w:r>
      <w:r w:rsidRPr="00A523FC">
        <w:t>de julho de 2018, 130º da República.</w:t>
      </w:r>
    </w:p>
    <w:p w:rsidR="00594477" w:rsidRPr="00A523FC" w:rsidRDefault="00594477" w:rsidP="00594477">
      <w:pPr>
        <w:tabs>
          <w:tab w:val="left" w:pos="284"/>
        </w:tabs>
        <w:ind w:firstLine="557"/>
        <w:jc w:val="both"/>
      </w:pPr>
    </w:p>
    <w:p w:rsidR="00594477" w:rsidRPr="00A523FC" w:rsidRDefault="00594477" w:rsidP="00594477">
      <w:pPr>
        <w:tabs>
          <w:tab w:val="left" w:pos="284"/>
        </w:tabs>
        <w:ind w:firstLine="557"/>
        <w:jc w:val="both"/>
      </w:pPr>
    </w:p>
    <w:p w:rsidR="00594477" w:rsidRPr="00A523FC" w:rsidRDefault="00594477" w:rsidP="00594477">
      <w:pPr>
        <w:tabs>
          <w:tab w:val="left" w:pos="284"/>
        </w:tabs>
        <w:ind w:firstLine="557"/>
        <w:jc w:val="both"/>
      </w:pPr>
    </w:p>
    <w:p w:rsidR="00594477" w:rsidRPr="00A523FC" w:rsidRDefault="00594477" w:rsidP="00594477">
      <w:pPr>
        <w:tabs>
          <w:tab w:val="left" w:pos="4365"/>
        </w:tabs>
        <w:jc w:val="center"/>
        <w:rPr>
          <w:b/>
        </w:rPr>
      </w:pPr>
      <w:r w:rsidRPr="00A523FC">
        <w:rPr>
          <w:b/>
        </w:rPr>
        <w:t>DANIEL PEREIRA</w:t>
      </w:r>
    </w:p>
    <w:p w:rsidR="00594477" w:rsidRPr="00A523FC" w:rsidRDefault="00594477" w:rsidP="00594477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3FC">
        <w:rPr>
          <w:rFonts w:ascii="Times New Roman" w:hAnsi="Times New Roman"/>
          <w:sz w:val="24"/>
          <w:szCs w:val="24"/>
        </w:rPr>
        <w:t>Governador</w:t>
      </w:r>
    </w:p>
    <w:sectPr w:rsidR="00594477" w:rsidRPr="00A523FC" w:rsidSect="00594477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77" w:rsidRDefault="00594477" w:rsidP="00594477">
      <w:r>
        <w:separator/>
      </w:r>
    </w:p>
  </w:endnote>
  <w:endnote w:type="continuationSeparator" w:id="0">
    <w:p w:rsidR="00594477" w:rsidRDefault="00594477" w:rsidP="0059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77" w:rsidRDefault="00594477" w:rsidP="00594477">
      <w:r>
        <w:separator/>
      </w:r>
    </w:p>
  </w:footnote>
  <w:footnote w:type="continuationSeparator" w:id="0">
    <w:p w:rsidR="00594477" w:rsidRDefault="00594477" w:rsidP="0059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77" w:rsidRDefault="00594477" w:rsidP="00594477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pt" o:ole="" fillcolor="window">
          <v:imagedata r:id="rId1" o:title=""/>
        </v:shape>
        <o:OLEObject Type="Embed" ProgID="Word.Picture.8" ShapeID="_x0000_i1025" DrawAspect="Content" ObjectID="_1593248455" r:id="rId2"/>
      </w:object>
    </w:r>
  </w:p>
  <w:p w:rsidR="00594477" w:rsidRPr="00594477" w:rsidRDefault="00594477" w:rsidP="00594477">
    <w:pPr>
      <w:jc w:val="center"/>
      <w:rPr>
        <w:b/>
      </w:rPr>
    </w:pPr>
    <w:r w:rsidRPr="00594477">
      <w:rPr>
        <w:b/>
      </w:rPr>
      <w:t>GOVERNO DO ESTADO DE RONDÔNIA</w:t>
    </w:r>
  </w:p>
  <w:p w:rsidR="00594477" w:rsidRPr="00594477" w:rsidRDefault="00594477" w:rsidP="00594477">
    <w:pPr>
      <w:pStyle w:val="Cabealho"/>
      <w:jc w:val="center"/>
      <w:rPr>
        <w:b/>
      </w:rPr>
    </w:pPr>
    <w:r w:rsidRPr="00594477">
      <w:rPr>
        <w:b/>
      </w:rPr>
      <w:t>GOVERNADORIA</w:t>
    </w:r>
  </w:p>
  <w:p w:rsidR="00594477" w:rsidRPr="00594477" w:rsidRDefault="005944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1"/>
    <w:rsid w:val="000D73C2"/>
    <w:rsid w:val="001F7E39"/>
    <w:rsid w:val="002A37A9"/>
    <w:rsid w:val="00332A71"/>
    <w:rsid w:val="00362CA6"/>
    <w:rsid w:val="004C448D"/>
    <w:rsid w:val="0056139B"/>
    <w:rsid w:val="00594477"/>
    <w:rsid w:val="005E71A7"/>
    <w:rsid w:val="006B0461"/>
    <w:rsid w:val="006E303F"/>
    <w:rsid w:val="008745B1"/>
    <w:rsid w:val="00A523FC"/>
    <w:rsid w:val="00D05863"/>
    <w:rsid w:val="00D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02887C58-F879-4DC7-A639-31309627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B046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046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4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4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4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4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legal">
    <w:name w:val="Texto legal"/>
    <w:basedOn w:val="Recuodecorpodetexto"/>
    <w:rsid w:val="00A523FC"/>
    <w:pPr>
      <w:suppressAutoHyphens/>
      <w:autoSpaceDE w:val="0"/>
      <w:spacing w:after="0"/>
      <w:ind w:left="0" w:firstLine="540"/>
      <w:jc w:val="both"/>
    </w:pPr>
    <w:rPr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23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2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A37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A37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Rayle Sanatana Barbosa</dc:creator>
  <cp:lastModifiedBy>Jannine de Souza Zanato Boa Sorte</cp:lastModifiedBy>
  <cp:revision>7</cp:revision>
  <dcterms:created xsi:type="dcterms:W3CDTF">2018-07-12T12:14:00Z</dcterms:created>
  <dcterms:modified xsi:type="dcterms:W3CDTF">2018-07-16T16:14:00Z</dcterms:modified>
</cp:coreProperties>
</file>