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01" w:rsidRDefault="00137501" w:rsidP="00137501">
      <w:pPr>
        <w:pStyle w:val="Ttulo1"/>
        <w:jc w:val="center"/>
        <w:rPr>
          <w:sz w:val="24"/>
          <w:szCs w:val="24"/>
        </w:rPr>
      </w:pPr>
      <w:r w:rsidRPr="00137501">
        <w:rPr>
          <w:sz w:val="24"/>
          <w:szCs w:val="24"/>
        </w:rPr>
        <w:t>LEI</w:t>
      </w:r>
      <w:r w:rsidR="00332D9F">
        <w:rPr>
          <w:sz w:val="24"/>
          <w:szCs w:val="24"/>
        </w:rPr>
        <w:t xml:space="preserve"> </w:t>
      </w:r>
      <w:r w:rsidRPr="00137501">
        <w:rPr>
          <w:sz w:val="24"/>
          <w:szCs w:val="24"/>
        </w:rPr>
        <w:t>N.</w:t>
      </w:r>
      <w:r w:rsidR="00C8717F">
        <w:rPr>
          <w:sz w:val="24"/>
          <w:szCs w:val="24"/>
        </w:rPr>
        <w:t xml:space="preserve"> 3.432</w:t>
      </w:r>
      <w:r w:rsidRPr="00137501">
        <w:rPr>
          <w:sz w:val="24"/>
          <w:szCs w:val="24"/>
        </w:rPr>
        <w:t>, DE</w:t>
      </w:r>
      <w:r w:rsidR="00C8717F">
        <w:rPr>
          <w:sz w:val="24"/>
          <w:szCs w:val="24"/>
        </w:rPr>
        <w:t xml:space="preserve"> </w:t>
      </w:r>
      <w:proofErr w:type="gramStart"/>
      <w:r w:rsidR="00C8717F">
        <w:rPr>
          <w:sz w:val="24"/>
          <w:szCs w:val="24"/>
        </w:rPr>
        <w:t>9</w:t>
      </w:r>
      <w:proofErr w:type="gramEnd"/>
      <w:r w:rsidR="00C8717F">
        <w:rPr>
          <w:sz w:val="24"/>
          <w:szCs w:val="24"/>
        </w:rPr>
        <w:t xml:space="preserve"> </w:t>
      </w:r>
      <w:r w:rsidRPr="00137501">
        <w:rPr>
          <w:sz w:val="24"/>
          <w:szCs w:val="24"/>
        </w:rPr>
        <w:t>DE</w:t>
      </w:r>
      <w:r w:rsidR="00EC58D0">
        <w:rPr>
          <w:sz w:val="24"/>
          <w:szCs w:val="24"/>
        </w:rPr>
        <w:t xml:space="preserve"> </w:t>
      </w:r>
      <w:r w:rsidR="00BD50CF">
        <w:rPr>
          <w:sz w:val="24"/>
          <w:szCs w:val="24"/>
        </w:rPr>
        <w:t>SETEMBRO</w:t>
      </w:r>
      <w:r w:rsidR="00EC58D0">
        <w:rPr>
          <w:sz w:val="24"/>
          <w:szCs w:val="24"/>
        </w:rPr>
        <w:t xml:space="preserve"> </w:t>
      </w:r>
      <w:r w:rsidRPr="00137501">
        <w:rPr>
          <w:sz w:val="24"/>
          <w:szCs w:val="24"/>
        </w:rPr>
        <w:t>DE 2014.</w:t>
      </w:r>
    </w:p>
    <w:p w:rsidR="00AE4649" w:rsidRDefault="00AE4649" w:rsidP="00E211D6">
      <w:pPr>
        <w:ind w:left="5103"/>
        <w:jc w:val="both"/>
      </w:pPr>
      <w:bookmarkStart w:id="0" w:name="_GoBack"/>
      <w:bookmarkEnd w:id="0"/>
    </w:p>
    <w:p w:rsidR="00BD50CF" w:rsidRPr="00BD50CF" w:rsidRDefault="00E772D5" w:rsidP="00BD50CF">
      <w:pPr>
        <w:ind w:left="5103"/>
        <w:jc w:val="both"/>
      </w:pPr>
      <w:r w:rsidRPr="00664D40">
        <w:rPr>
          <w:color w:val="000000"/>
          <w:spacing w:val="-1"/>
        </w:rPr>
        <w:t>Institui o programa de melhoria na qualidade de ensino excelência, às unidades de ensino da rede pública estadual, orienta a sua implantação e dá outras providências</w:t>
      </w:r>
      <w:r w:rsidR="00ED6E0A" w:rsidRPr="00ED6E0A">
        <w:t>.</w:t>
      </w:r>
    </w:p>
    <w:p w:rsidR="00904017" w:rsidRDefault="00904017" w:rsidP="00E211D6">
      <w:pPr>
        <w:ind w:left="5103"/>
        <w:jc w:val="both"/>
      </w:pPr>
    </w:p>
    <w:p w:rsidR="003208AF" w:rsidRPr="0046356F" w:rsidRDefault="003208AF" w:rsidP="003208AF">
      <w:pPr>
        <w:pStyle w:val="xl27"/>
        <w:tabs>
          <w:tab w:val="left" w:pos="-1701"/>
          <w:tab w:val="left" w:pos="5103"/>
        </w:tabs>
        <w:spacing w:before="0" w:beforeAutospacing="0" w:after="0" w:afterAutospacing="0"/>
        <w:ind w:firstLine="567"/>
        <w:textAlignment w:val="auto"/>
        <w:rPr>
          <w:rFonts w:ascii="Times New Roman" w:eastAsia="Times New Roman" w:hAnsi="Times New Roman" w:cs="Times New Roman"/>
        </w:rPr>
      </w:pPr>
      <w:r w:rsidRPr="0046356F">
        <w:rPr>
          <w:rFonts w:ascii="Times New Roman" w:eastAsia="Times New Roman" w:hAnsi="Times New Roman" w:cs="Times New Roman"/>
        </w:rPr>
        <w:t>O GOVERNADOR DO ESTADO DE RONDÔNIA:</w:t>
      </w:r>
    </w:p>
    <w:p w:rsidR="00217C87" w:rsidRDefault="003208AF" w:rsidP="003208AF">
      <w:pPr>
        <w:ind w:firstLine="567"/>
        <w:jc w:val="both"/>
      </w:pPr>
      <w:r w:rsidRPr="0046356F">
        <w:t>Faço saber que a Assembleia Legislativa decr</w:t>
      </w:r>
      <w:r w:rsidR="0021773A">
        <w:t>eta e eu sanciono a seguinte Lei</w:t>
      </w:r>
      <w:r w:rsidRPr="0046356F">
        <w:t>:</w:t>
      </w:r>
    </w:p>
    <w:p w:rsidR="003208AF" w:rsidRDefault="003208AF" w:rsidP="003208AF">
      <w:pPr>
        <w:ind w:firstLine="567"/>
        <w:jc w:val="both"/>
        <w:rPr>
          <w:bCs/>
          <w:color w:val="000000"/>
        </w:rPr>
      </w:pPr>
    </w:p>
    <w:p w:rsidR="00E772D5" w:rsidRPr="00664D40" w:rsidRDefault="00E772D5" w:rsidP="00E772D5">
      <w:pPr>
        <w:ind w:firstLine="567"/>
        <w:jc w:val="both"/>
      </w:pPr>
      <w:r w:rsidRPr="00664D40">
        <w:t>Art. 1º. Fica instituído o programa de melhoria na qualidade de ensino-excelência, na Secretaria de Estado da Educação - SEDUC, com o objetivo de viabilizar o suporte financeiro para o desenvolvimento de projetos interdisciplinares pelas unidades de Ensino da Rede Estadual.</w:t>
      </w:r>
    </w:p>
    <w:p w:rsidR="00E772D5" w:rsidRPr="00664D40" w:rsidRDefault="00E772D5" w:rsidP="00E772D5">
      <w:pPr>
        <w:ind w:firstLine="567"/>
        <w:jc w:val="both"/>
      </w:pPr>
    </w:p>
    <w:p w:rsidR="00E772D5" w:rsidRPr="00664D40" w:rsidRDefault="00E772D5" w:rsidP="00E772D5">
      <w:pPr>
        <w:ind w:firstLine="567"/>
        <w:jc w:val="both"/>
      </w:pPr>
      <w:r w:rsidRPr="00664D40">
        <w:t>§ 1º. Os recursos financeiros do Programa Excelência serão destinados, exclusivamente, para a execução de projetos escolares elaborados pelas unidades de ensino, em consonância com o Projeto Político Pedagógico - PPP e que contemple o Referencial Curricular do Estado de forma interdisciplinar.</w:t>
      </w:r>
    </w:p>
    <w:p w:rsidR="00E772D5" w:rsidRPr="00664D40" w:rsidRDefault="00E772D5" w:rsidP="00E772D5">
      <w:pPr>
        <w:ind w:firstLine="567"/>
        <w:jc w:val="both"/>
      </w:pPr>
    </w:p>
    <w:p w:rsidR="00E772D5" w:rsidRPr="00664D40" w:rsidRDefault="00E772D5" w:rsidP="00E772D5">
      <w:pPr>
        <w:ind w:firstLine="567"/>
        <w:jc w:val="both"/>
      </w:pPr>
      <w:r w:rsidRPr="00664D40">
        <w:t>§ 2º. O repasse dos recursos financeiros do Programa Excelência só será efetivado às Unidades Executoras que obtiverem projetos aprovados pelos Comitês Estratégicos Estaduais e Comitê Permanente, da SEDUC.</w:t>
      </w:r>
    </w:p>
    <w:p w:rsidR="00E772D5" w:rsidRPr="00664D40" w:rsidRDefault="00E772D5" w:rsidP="00E772D5">
      <w:pPr>
        <w:ind w:firstLine="567"/>
        <w:jc w:val="both"/>
      </w:pPr>
    </w:p>
    <w:p w:rsidR="00E772D5" w:rsidRPr="00664D40" w:rsidRDefault="00E772D5" w:rsidP="00E772D5">
      <w:pPr>
        <w:ind w:firstLine="567"/>
        <w:jc w:val="both"/>
      </w:pPr>
      <w:r w:rsidRPr="00664D40">
        <w:t xml:space="preserve">Art. 2º. Terão direito ao repasse de recursos do Programa Excelência as unidades de ensino da rede estadual que atendem Ensino Fundamental e Médio, incluindo as especificidades de Educação Especial, Educação Profissional, Educação de </w:t>
      </w:r>
      <w:proofErr w:type="gramStart"/>
      <w:r w:rsidRPr="00664D40">
        <w:t>Jovens e Adultos (presencial), Educação</w:t>
      </w:r>
      <w:proofErr w:type="gramEnd"/>
      <w:r w:rsidRPr="00664D40">
        <w:t xml:space="preserve"> Indígena e Educação Quilombola, devidamente regularizadas.</w:t>
      </w:r>
    </w:p>
    <w:p w:rsidR="00E772D5" w:rsidRPr="00664D40" w:rsidRDefault="00E772D5" w:rsidP="00E772D5">
      <w:pPr>
        <w:ind w:firstLine="567"/>
        <w:jc w:val="both"/>
      </w:pPr>
    </w:p>
    <w:p w:rsidR="00E772D5" w:rsidRPr="00664D40" w:rsidRDefault="00E772D5" w:rsidP="00E772D5">
      <w:pPr>
        <w:ind w:firstLine="567"/>
        <w:jc w:val="both"/>
      </w:pPr>
      <w:r w:rsidRPr="00664D40">
        <w:t>Art. 3º. A SEDUC procederá à transferência automática dos recursos financeiros do Programa Excelência em favor das Unidades Executoras, instituídas nas Unidades de Ensino da Rede Pública Estadual em conta específica para a cobertura de despesas de Custeio e de Capital oriundas do projeto aprovado.</w:t>
      </w:r>
    </w:p>
    <w:p w:rsidR="00E772D5" w:rsidRPr="00664D40" w:rsidRDefault="00E772D5" w:rsidP="00E772D5">
      <w:pPr>
        <w:ind w:firstLine="567"/>
        <w:jc w:val="both"/>
      </w:pPr>
    </w:p>
    <w:p w:rsidR="00E772D5" w:rsidRPr="00664D40" w:rsidRDefault="00E772D5" w:rsidP="00E772D5">
      <w:pPr>
        <w:ind w:firstLine="567"/>
        <w:jc w:val="both"/>
      </w:pPr>
      <w:r w:rsidRPr="00664D40">
        <w:t xml:space="preserve">Art. 4º. Para o recebimento dos recursos financeiros é indispensável que a Unidade Executora esteja </w:t>
      </w:r>
      <w:proofErr w:type="gramStart"/>
      <w:r w:rsidRPr="00664D40">
        <w:t>regularizada</w:t>
      </w:r>
      <w:proofErr w:type="gramEnd"/>
      <w:r w:rsidRPr="00664D40">
        <w:t xml:space="preserve"> e adimplente junto à SEDUC.</w:t>
      </w:r>
    </w:p>
    <w:p w:rsidR="00E772D5" w:rsidRPr="00664D40" w:rsidRDefault="00E772D5" w:rsidP="00E772D5">
      <w:pPr>
        <w:ind w:firstLine="567"/>
        <w:jc w:val="both"/>
      </w:pPr>
    </w:p>
    <w:p w:rsidR="00E772D5" w:rsidRPr="00664D40" w:rsidRDefault="00E772D5" w:rsidP="00E772D5">
      <w:pPr>
        <w:ind w:firstLine="567"/>
        <w:jc w:val="both"/>
      </w:pPr>
      <w:r w:rsidRPr="00664D40">
        <w:t>Art. 5º. Os processos administrativos correspondentes ao repasse dos recursos financeiros às Unidades Executoras serão instruídos com os documentos mencionados na Instrução Normativa de regulamentação do Programa Excelência e com a prova de aplicação dos recursos quando da prestação de contas, não podendo contrariar o disposto na Medida Provisória nº 2178-36, de 26 de agosto de 2001, suas reedições e, na Resolução/FNDE/CD nº 10, de 22 de março de 2004, do Conselho Deliberativo</w:t>
      </w:r>
      <w:r w:rsidRPr="00664D40">
        <w:tab/>
        <w:t>do Fundo Nacional de Desenvolvimento da Educação - FNDE e demais normas editadas pelo Ministério da Educação e Cultura - MEC.</w:t>
      </w:r>
    </w:p>
    <w:p w:rsidR="00E772D5" w:rsidRPr="00664D40" w:rsidRDefault="00E772D5" w:rsidP="00E772D5">
      <w:pPr>
        <w:ind w:firstLine="567"/>
        <w:jc w:val="both"/>
      </w:pPr>
    </w:p>
    <w:p w:rsidR="00E772D5" w:rsidRPr="00664D40" w:rsidRDefault="00E772D5" w:rsidP="00E772D5">
      <w:pPr>
        <w:ind w:firstLine="567"/>
        <w:jc w:val="both"/>
      </w:pPr>
      <w:r w:rsidRPr="00664D40">
        <w:t xml:space="preserve">Art. 6º. O recurso do Programa-Excelência será repassado, anualmente, em parcela única à Unidade Executora, que terá o prazo de </w:t>
      </w:r>
      <w:proofErr w:type="gramStart"/>
      <w:r w:rsidRPr="00664D40">
        <w:t>6</w:t>
      </w:r>
      <w:proofErr w:type="gramEnd"/>
      <w:r w:rsidRPr="00664D40">
        <w:t xml:space="preserve"> (seis) meses para a execução e prestação de contas.</w:t>
      </w:r>
    </w:p>
    <w:p w:rsidR="00E772D5" w:rsidRPr="00664D40" w:rsidRDefault="00E772D5" w:rsidP="00E772D5">
      <w:pPr>
        <w:ind w:firstLine="567"/>
        <w:jc w:val="both"/>
      </w:pPr>
    </w:p>
    <w:p w:rsidR="00E772D5" w:rsidRPr="00664D40" w:rsidRDefault="00E772D5" w:rsidP="00E772D5">
      <w:pPr>
        <w:ind w:firstLine="567"/>
        <w:jc w:val="both"/>
      </w:pPr>
      <w:r w:rsidRPr="00664D40">
        <w:t>Art. 7º. As Unidades Executoras destinarão conforme necessidade de execução descrita no projeto, o percentual de recurso financeiro repassado pelo Programa Excelência destinado à despesa de Custeio e Capital, cabendo o veredito final ao Comitê Permanente da SEDUC.</w:t>
      </w:r>
    </w:p>
    <w:p w:rsidR="00E772D5" w:rsidRPr="00664D40" w:rsidRDefault="00E772D5" w:rsidP="00E772D5">
      <w:pPr>
        <w:ind w:firstLine="567"/>
        <w:jc w:val="both"/>
      </w:pPr>
    </w:p>
    <w:p w:rsidR="00E772D5" w:rsidRPr="00664D40" w:rsidRDefault="00E772D5" w:rsidP="00E772D5">
      <w:pPr>
        <w:ind w:firstLine="567"/>
        <w:jc w:val="both"/>
      </w:pPr>
      <w:r w:rsidRPr="00664D40">
        <w:t>Parágrafo único. O teto máximo do financiamento anual será fixado pela Secretaria de Educação, através de Resolução Normativa, não ultrapassando o teto de R$ 8.000,00 (oito mil reais).</w:t>
      </w:r>
    </w:p>
    <w:p w:rsidR="00E772D5" w:rsidRPr="00664D40" w:rsidRDefault="00E772D5" w:rsidP="00E772D5">
      <w:pPr>
        <w:ind w:firstLine="567"/>
        <w:jc w:val="both"/>
      </w:pPr>
    </w:p>
    <w:p w:rsidR="00E772D5" w:rsidRPr="00664D40" w:rsidRDefault="00E772D5" w:rsidP="00E772D5">
      <w:pPr>
        <w:ind w:firstLine="567"/>
        <w:jc w:val="both"/>
      </w:pPr>
      <w:r w:rsidRPr="00664D40">
        <w:t>Art. 8º. Para o repasse dos recursos financeiros, a SEDUC providenciará, incontinenti, a publicação do ato pela imprensa oficial, da qual constarão, pelo menos, os seguintes elementos:</w:t>
      </w:r>
    </w:p>
    <w:p w:rsidR="00E772D5" w:rsidRPr="00664D40" w:rsidRDefault="00E772D5" w:rsidP="00E772D5">
      <w:pPr>
        <w:ind w:firstLine="567"/>
        <w:jc w:val="both"/>
      </w:pPr>
    </w:p>
    <w:p w:rsidR="00E772D5" w:rsidRPr="00664D40" w:rsidRDefault="00E772D5" w:rsidP="00E772D5">
      <w:pPr>
        <w:ind w:firstLine="567"/>
        <w:jc w:val="both"/>
      </w:pPr>
      <w:r w:rsidRPr="00664D40">
        <w:t>I</w:t>
      </w:r>
      <w:r w:rsidRPr="00664D40">
        <w:tab/>
        <w:t>- número do processo;</w:t>
      </w:r>
    </w:p>
    <w:p w:rsidR="00E772D5" w:rsidRPr="00664D40" w:rsidRDefault="00E772D5" w:rsidP="00E772D5">
      <w:pPr>
        <w:ind w:firstLine="567"/>
        <w:jc w:val="both"/>
      </w:pPr>
    </w:p>
    <w:p w:rsidR="00E772D5" w:rsidRPr="00664D40" w:rsidRDefault="00E772D5" w:rsidP="00E772D5">
      <w:pPr>
        <w:ind w:firstLine="567"/>
        <w:jc w:val="both"/>
      </w:pPr>
      <w:r w:rsidRPr="00664D40">
        <w:t>II - identificação da escola, da Unidade Executora, recebedores dos recursos financeiros e o município;</w:t>
      </w:r>
    </w:p>
    <w:p w:rsidR="00E772D5" w:rsidRPr="00664D40" w:rsidRDefault="00E772D5" w:rsidP="00E772D5">
      <w:pPr>
        <w:ind w:firstLine="567"/>
        <w:jc w:val="both"/>
      </w:pPr>
    </w:p>
    <w:p w:rsidR="00E772D5" w:rsidRPr="00664D40" w:rsidRDefault="00E772D5" w:rsidP="00E772D5">
      <w:pPr>
        <w:ind w:firstLine="567"/>
        <w:jc w:val="both"/>
      </w:pPr>
      <w:r w:rsidRPr="00664D40">
        <w:t>III - número de inscrição no Cadastro Nacional de Pessoa Jurídica - CNPJ;</w:t>
      </w:r>
    </w:p>
    <w:p w:rsidR="00E772D5" w:rsidRPr="00664D40" w:rsidRDefault="00E772D5" w:rsidP="00E772D5">
      <w:pPr>
        <w:ind w:firstLine="567"/>
        <w:jc w:val="both"/>
      </w:pPr>
    </w:p>
    <w:p w:rsidR="00E772D5" w:rsidRPr="00664D40" w:rsidRDefault="00E772D5" w:rsidP="00E772D5">
      <w:pPr>
        <w:ind w:firstLine="567"/>
        <w:jc w:val="both"/>
      </w:pPr>
      <w:r w:rsidRPr="00664D40">
        <w:t xml:space="preserve">IV - valor do repasse; </w:t>
      </w:r>
      <w:proofErr w:type="gramStart"/>
      <w:r w:rsidRPr="00664D40">
        <w:t>e</w:t>
      </w:r>
      <w:proofErr w:type="gramEnd"/>
    </w:p>
    <w:p w:rsidR="00E772D5" w:rsidRPr="00664D40" w:rsidRDefault="00E772D5" w:rsidP="00E772D5">
      <w:pPr>
        <w:ind w:firstLine="567"/>
        <w:jc w:val="both"/>
      </w:pPr>
    </w:p>
    <w:p w:rsidR="00E772D5" w:rsidRPr="00664D40" w:rsidRDefault="00E772D5" w:rsidP="00E772D5">
      <w:pPr>
        <w:ind w:firstLine="567"/>
        <w:jc w:val="both"/>
      </w:pPr>
      <w:r w:rsidRPr="00664D40">
        <w:t>V - identificação do Programa.</w:t>
      </w:r>
    </w:p>
    <w:p w:rsidR="00E772D5" w:rsidRPr="00664D40" w:rsidRDefault="00E772D5" w:rsidP="00E772D5">
      <w:pPr>
        <w:ind w:firstLine="567"/>
        <w:jc w:val="both"/>
      </w:pPr>
    </w:p>
    <w:p w:rsidR="00E772D5" w:rsidRPr="00664D40" w:rsidRDefault="00E772D5" w:rsidP="00E772D5">
      <w:pPr>
        <w:ind w:firstLine="567"/>
        <w:jc w:val="both"/>
      </w:pPr>
      <w:r w:rsidRPr="00664D40">
        <w:t>Art. 9º. A SEDUC expedirá normas disciplinando a execução, fiscalização e prestação de contas do Programa.</w:t>
      </w:r>
    </w:p>
    <w:p w:rsidR="00E772D5" w:rsidRPr="00664D40" w:rsidRDefault="00E772D5" w:rsidP="00E772D5">
      <w:pPr>
        <w:ind w:firstLine="567"/>
        <w:jc w:val="both"/>
      </w:pPr>
      <w:r w:rsidRPr="00664D40">
        <w:t>Art. 10. Os casos omissos serão dirimidos pela SEDUC.</w:t>
      </w:r>
    </w:p>
    <w:p w:rsidR="00E772D5" w:rsidRPr="00664D40" w:rsidRDefault="00E772D5" w:rsidP="00E772D5">
      <w:pPr>
        <w:ind w:firstLine="567"/>
        <w:jc w:val="both"/>
      </w:pPr>
    </w:p>
    <w:p w:rsidR="00E772D5" w:rsidRPr="00664D40" w:rsidRDefault="00E772D5" w:rsidP="00E772D5">
      <w:pPr>
        <w:ind w:firstLine="567"/>
        <w:jc w:val="both"/>
      </w:pPr>
      <w:r w:rsidRPr="00664D40">
        <w:t>Art. 11. Fica revogada a Lei nº 1.517, de 29 de agosto de 2005.</w:t>
      </w:r>
    </w:p>
    <w:p w:rsidR="00E772D5" w:rsidRPr="00664D40" w:rsidRDefault="00E772D5" w:rsidP="00E772D5">
      <w:pPr>
        <w:ind w:firstLine="567"/>
        <w:jc w:val="both"/>
      </w:pPr>
    </w:p>
    <w:p w:rsidR="00BD50CF" w:rsidRPr="004E048C" w:rsidRDefault="00E772D5" w:rsidP="00E772D5">
      <w:pPr>
        <w:ind w:firstLine="567"/>
        <w:jc w:val="both"/>
      </w:pPr>
      <w:r w:rsidRPr="00664D40">
        <w:t>Art. 12. Esta Lei entra em vigor na data de sua publicação.</w:t>
      </w:r>
    </w:p>
    <w:p w:rsidR="00BD50CF" w:rsidRPr="004E048C" w:rsidRDefault="00BD50CF" w:rsidP="00BD50CF">
      <w:pPr>
        <w:ind w:firstLine="600"/>
        <w:jc w:val="both"/>
      </w:pPr>
    </w:p>
    <w:p w:rsidR="00137501" w:rsidRPr="0046356F" w:rsidRDefault="00137501" w:rsidP="00AA0602">
      <w:pPr>
        <w:ind w:firstLine="567"/>
        <w:jc w:val="both"/>
      </w:pPr>
      <w:r w:rsidRPr="0046356F">
        <w:t>Palácio do Governo do Estado de Rondônia, em</w:t>
      </w:r>
      <w:r w:rsidR="00C8717F">
        <w:t xml:space="preserve"> </w:t>
      </w:r>
      <w:proofErr w:type="gramStart"/>
      <w:r w:rsidR="00C8717F">
        <w:t>9</w:t>
      </w:r>
      <w:proofErr w:type="gramEnd"/>
      <w:r w:rsidR="00C8717F">
        <w:t xml:space="preserve"> </w:t>
      </w:r>
      <w:r w:rsidRPr="0046356F">
        <w:t>de</w:t>
      </w:r>
      <w:r w:rsidR="00EC58D0">
        <w:t xml:space="preserve"> </w:t>
      </w:r>
      <w:r w:rsidR="00145D18">
        <w:t>setembro</w:t>
      </w:r>
      <w:r w:rsidR="00EC58D0">
        <w:t xml:space="preserve"> </w:t>
      </w:r>
      <w:r w:rsidRPr="0046356F">
        <w:t>de 201</w:t>
      </w:r>
      <w:r>
        <w:t>4</w:t>
      </w:r>
      <w:r w:rsidRPr="0046356F">
        <w:t>, 12</w:t>
      </w:r>
      <w:r>
        <w:t>6</w:t>
      </w:r>
      <w:r w:rsidRPr="0046356F">
        <w:t xml:space="preserve">º da República.  </w:t>
      </w:r>
    </w:p>
    <w:p w:rsidR="00137501" w:rsidRPr="0046356F" w:rsidRDefault="00137501" w:rsidP="00137501">
      <w:pPr>
        <w:ind w:firstLine="567"/>
        <w:jc w:val="both"/>
      </w:pPr>
    </w:p>
    <w:p w:rsidR="00137501" w:rsidRPr="0046356F" w:rsidRDefault="00137501" w:rsidP="00137501">
      <w:pPr>
        <w:spacing w:line="0" w:lineRule="atLeast"/>
      </w:pPr>
      <w:r>
        <w:tab/>
      </w:r>
    </w:p>
    <w:p w:rsidR="00137501" w:rsidRPr="0046356F" w:rsidRDefault="00137501" w:rsidP="00137501">
      <w:pPr>
        <w:spacing w:line="0" w:lineRule="atLeast"/>
      </w:pPr>
    </w:p>
    <w:p w:rsidR="00137501" w:rsidRPr="0046356F" w:rsidRDefault="00137501" w:rsidP="00137501">
      <w:pPr>
        <w:tabs>
          <w:tab w:val="left" w:pos="4365"/>
        </w:tabs>
        <w:spacing w:line="0" w:lineRule="atLeast"/>
        <w:jc w:val="center"/>
        <w:rPr>
          <w:b/>
        </w:rPr>
      </w:pPr>
      <w:proofErr w:type="gramStart"/>
      <w:r w:rsidRPr="0046356F">
        <w:rPr>
          <w:b/>
        </w:rPr>
        <w:t>CONFÚCIO AIRES MOURA</w:t>
      </w:r>
      <w:proofErr w:type="gramEnd"/>
    </w:p>
    <w:p w:rsidR="00137501" w:rsidRPr="0046356F" w:rsidRDefault="00137501" w:rsidP="00137501">
      <w:pPr>
        <w:tabs>
          <w:tab w:val="left" w:pos="4365"/>
        </w:tabs>
        <w:spacing w:line="0" w:lineRule="atLeast"/>
        <w:jc w:val="center"/>
      </w:pPr>
      <w:r w:rsidRPr="0046356F">
        <w:t>Governador</w:t>
      </w:r>
    </w:p>
    <w:p w:rsidR="00030867" w:rsidRDefault="00030867" w:rsidP="00217C87">
      <w:pPr>
        <w:ind w:firstLine="600"/>
        <w:jc w:val="both"/>
      </w:pPr>
    </w:p>
    <w:p w:rsidR="00C02B9B" w:rsidRDefault="00C02B9B" w:rsidP="00217C87">
      <w:pPr>
        <w:ind w:firstLine="600"/>
        <w:jc w:val="both"/>
      </w:pPr>
    </w:p>
    <w:p w:rsidR="005153AD" w:rsidRDefault="005153AD" w:rsidP="005153AD">
      <w:pPr>
        <w:ind w:left="5103"/>
        <w:jc w:val="both"/>
      </w:pPr>
    </w:p>
    <w:p w:rsidR="00C02B9B" w:rsidRDefault="00C02B9B" w:rsidP="00217C87">
      <w:pPr>
        <w:ind w:firstLine="600"/>
        <w:jc w:val="both"/>
      </w:pPr>
    </w:p>
    <w:p w:rsidR="00C364E6" w:rsidRDefault="00C364E6" w:rsidP="00217C87">
      <w:pPr>
        <w:ind w:firstLine="600"/>
        <w:jc w:val="both"/>
      </w:pPr>
    </w:p>
    <w:p w:rsidR="00C364E6" w:rsidRDefault="00C364E6" w:rsidP="00217C87">
      <w:pPr>
        <w:ind w:firstLine="600"/>
        <w:jc w:val="both"/>
      </w:pPr>
    </w:p>
    <w:p w:rsidR="00C364E6" w:rsidRDefault="00C364E6" w:rsidP="00217C87">
      <w:pPr>
        <w:ind w:firstLine="600"/>
        <w:jc w:val="both"/>
      </w:pPr>
    </w:p>
    <w:p w:rsidR="00C364E6" w:rsidRDefault="00C364E6" w:rsidP="00217C87">
      <w:pPr>
        <w:ind w:firstLine="600"/>
        <w:jc w:val="both"/>
      </w:pPr>
    </w:p>
    <w:p w:rsidR="00C02B9B" w:rsidRDefault="00C02B9B" w:rsidP="00217C87">
      <w:pPr>
        <w:ind w:firstLine="600"/>
        <w:jc w:val="both"/>
      </w:pPr>
    </w:p>
    <w:p w:rsidR="00C02B9B" w:rsidRDefault="00C02B9B" w:rsidP="00217C87">
      <w:pPr>
        <w:ind w:firstLine="600"/>
        <w:jc w:val="both"/>
      </w:pPr>
    </w:p>
    <w:p w:rsidR="00C02B9B" w:rsidRDefault="00C02B9B" w:rsidP="00217C87">
      <w:pPr>
        <w:ind w:firstLine="600"/>
        <w:jc w:val="both"/>
      </w:pPr>
    </w:p>
    <w:p w:rsidR="00C02B9B" w:rsidRDefault="00C02B9B" w:rsidP="00217C87">
      <w:pPr>
        <w:ind w:firstLine="600"/>
        <w:jc w:val="both"/>
      </w:pPr>
    </w:p>
    <w:p w:rsidR="00C02B9B" w:rsidRDefault="00C02B9B" w:rsidP="00217C87">
      <w:pPr>
        <w:ind w:firstLine="600"/>
        <w:jc w:val="both"/>
      </w:pPr>
    </w:p>
    <w:p w:rsidR="00C02B9B" w:rsidRDefault="00C02B9B" w:rsidP="00217C87">
      <w:pPr>
        <w:ind w:firstLine="600"/>
        <w:jc w:val="both"/>
      </w:pPr>
    </w:p>
    <w:p w:rsidR="00E20C98" w:rsidRDefault="00E20C98" w:rsidP="00217C87">
      <w:pPr>
        <w:ind w:firstLine="600"/>
        <w:jc w:val="both"/>
      </w:pPr>
    </w:p>
    <w:p w:rsidR="00E20C98" w:rsidRDefault="00E20C98" w:rsidP="00217C87">
      <w:pPr>
        <w:ind w:firstLine="600"/>
        <w:jc w:val="both"/>
      </w:pPr>
    </w:p>
    <w:p w:rsidR="00E20C98" w:rsidRDefault="00E20C98" w:rsidP="00217C87">
      <w:pPr>
        <w:ind w:firstLine="600"/>
        <w:jc w:val="both"/>
      </w:pPr>
    </w:p>
    <w:p w:rsidR="007E0743" w:rsidRDefault="007E0743" w:rsidP="00217C87">
      <w:pPr>
        <w:ind w:firstLine="600"/>
        <w:jc w:val="both"/>
      </w:pPr>
    </w:p>
    <w:p w:rsidR="00E20C98" w:rsidRDefault="00E20C98" w:rsidP="00217C87">
      <w:pPr>
        <w:ind w:firstLine="600"/>
        <w:jc w:val="both"/>
      </w:pPr>
    </w:p>
    <w:sectPr w:rsidR="00E20C98" w:rsidSect="00337275">
      <w:headerReference w:type="default" r:id="rId9"/>
      <w:footerReference w:type="default" r:id="rId10"/>
      <w:pgSz w:w="11907" w:h="16840" w:code="9"/>
      <w:pgMar w:top="709" w:right="567" w:bottom="0" w:left="1134" w:header="284" w:footer="2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15A" w:rsidRDefault="005A415A">
      <w:r>
        <w:separator/>
      </w:r>
    </w:p>
  </w:endnote>
  <w:endnote w:type="continuationSeparator" w:id="0">
    <w:p w:rsidR="005A415A" w:rsidRDefault="005A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77729F">
    <w:pPr>
      <w:pStyle w:val="Rodap"/>
      <w:jc w:val="right"/>
    </w:pPr>
    <w:r>
      <w:fldChar w:fldCharType="begin"/>
    </w:r>
    <w:r>
      <w:instrText>PAGE   \* MERGEFORMAT</w:instrText>
    </w:r>
    <w:r>
      <w:fldChar w:fldCharType="separate"/>
    </w:r>
    <w:r w:rsidR="00C8717F">
      <w:rPr>
        <w:noProof/>
      </w:rPr>
      <w:t>1</w:t>
    </w:r>
    <w:r>
      <w:rPr>
        <w:noProof/>
      </w:rPr>
      <w:fldChar w:fldCharType="end"/>
    </w:r>
  </w:p>
  <w:p w:rsidR="00C52A60" w:rsidRDefault="00C52A60" w:rsidP="00BF255A">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15A" w:rsidRDefault="005A415A">
      <w:r>
        <w:separator/>
      </w:r>
    </w:p>
  </w:footnote>
  <w:footnote w:type="continuationSeparator" w:id="0">
    <w:p w:rsidR="005A415A" w:rsidRDefault="005A4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C52A60" w:rsidP="00201653">
    <w:pPr>
      <w:ind w:right="-54"/>
      <w:jc w:val="center"/>
      <w:rPr>
        <w:b/>
      </w:rPr>
    </w:pPr>
    <w:r w:rsidRPr="00BB12E6">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0.5pt" o:ole="" fillcolor="window">
          <v:imagedata r:id="rId1" o:title=""/>
        </v:shape>
        <o:OLEObject Type="Embed" ProgID="Word.Picture.8" ShapeID="_x0000_i1025" DrawAspect="Content" ObjectID="_1471755679" r:id="rId2"/>
      </w:object>
    </w:r>
  </w:p>
  <w:p w:rsidR="00C52A60" w:rsidRPr="00907F74" w:rsidRDefault="00C52A60" w:rsidP="00201653">
    <w:pPr>
      <w:jc w:val="center"/>
      <w:rPr>
        <w:b/>
      </w:rPr>
    </w:pPr>
    <w:r w:rsidRPr="00907F74">
      <w:rPr>
        <w:b/>
      </w:rPr>
      <w:t>GOVERNO DO ESTADO DE RONDÔNIA</w:t>
    </w:r>
  </w:p>
  <w:p w:rsidR="00C52A60" w:rsidRPr="00907F74" w:rsidRDefault="00C52A60" w:rsidP="00201653">
    <w:pPr>
      <w:pStyle w:val="Cabealho"/>
      <w:jc w:val="center"/>
      <w:rPr>
        <w:b/>
        <w:sz w:val="24"/>
        <w:szCs w:val="24"/>
      </w:rPr>
    </w:pPr>
    <w:r w:rsidRPr="00907F74">
      <w:rPr>
        <w:b/>
        <w:sz w:val="24"/>
        <w:szCs w:val="24"/>
      </w:rPr>
      <w:t>GOVERNADORIA</w:t>
    </w:r>
  </w:p>
  <w:p w:rsidR="00C52A60" w:rsidRPr="0080396A" w:rsidRDefault="00C52A60" w:rsidP="00201653">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64C"/>
    <w:multiLevelType w:val="hybridMultilevel"/>
    <w:tmpl w:val="AD44B020"/>
    <w:lvl w:ilvl="0" w:tplc="527AA7FA">
      <w:start w:val="3"/>
      <w:numFmt w:val="decimal"/>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87856F0"/>
    <w:multiLevelType w:val="hybridMultilevel"/>
    <w:tmpl w:val="029A3A1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7014CE8"/>
    <w:multiLevelType w:val="hybridMultilevel"/>
    <w:tmpl w:val="BDCE2B84"/>
    <w:lvl w:ilvl="0" w:tplc="A40CE99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04C5A1E"/>
    <w:multiLevelType w:val="hybridMultilevel"/>
    <w:tmpl w:val="F9BA049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7C761B9D"/>
    <w:multiLevelType w:val="hybridMultilevel"/>
    <w:tmpl w:val="146A72B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7F8C7DC1"/>
    <w:multiLevelType w:val="hybridMultilevel"/>
    <w:tmpl w:val="613A7292"/>
    <w:lvl w:ilvl="0" w:tplc="04160019">
      <w:start w:val="1"/>
      <w:numFmt w:val="lowerLetter"/>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70"/>
    <w:rsid w:val="00012FD1"/>
    <w:rsid w:val="00013974"/>
    <w:rsid w:val="0002193F"/>
    <w:rsid w:val="00024B0E"/>
    <w:rsid w:val="000250D7"/>
    <w:rsid w:val="00030867"/>
    <w:rsid w:val="00035734"/>
    <w:rsid w:val="00037448"/>
    <w:rsid w:val="000533FA"/>
    <w:rsid w:val="000628D9"/>
    <w:rsid w:val="00063C5B"/>
    <w:rsid w:val="00063FDE"/>
    <w:rsid w:val="000653B9"/>
    <w:rsid w:val="00070BE2"/>
    <w:rsid w:val="00075B50"/>
    <w:rsid w:val="0008580D"/>
    <w:rsid w:val="00087189"/>
    <w:rsid w:val="00090E7C"/>
    <w:rsid w:val="000934D5"/>
    <w:rsid w:val="00096A63"/>
    <w:rsid w:val="00097B79"/>
    <w:rsid w:val="000A18DF"/>
    <w:rsid w:val="000A6D92"/>
    <w:rsid w:val="000B4483"/>
    <w:rsid w:val="000C0483"/>
    <w:rsid w:val="000C1681"/>
    <w:rsid w:val="000D3B18"/>
    <w:rsid w:val="000D6AA1"/>
    <w:rsid w:val="000D6D4B"/>
    <w:rsid w:val="000E23D6"/>
    <w:rsid w:val="000F6039"/>
    <w:rsid w:val="001042B9"/>
    <w:rsid w:val="00106FC5"/>
    <w:rsid w:val="00111AF4"/>
    <w:rsid w:val="00117FA7"/>
    <w:rsid w:val="00120784"/>
    <w:rsid w:val="00121998"/>
    <w:rsid w:val="001227DC"/>
    <w:rsid w:val="001244DA"/>
    <w:rsid w:val="0013463E"/>
    <w:rsid w:val="001351A8"/>
    <w:rsid w:val="00135F22"/>
    <w:rsid w:val="00136C4E"/>
    <w:rsid w:val="00137501"/>
    <w:rsid w:val="0014064E"/>
    <w:rsid w:val="00140731"/>
    <w:rsid w:val="0014181C"/>
    <w:rsid w:val="00144AD9"/>
    <w:rsid w:val="00145D18"/>
    <w:rsid w:val="0014730C"/>
    <w:rsid w:val="00150F09"/>
    <w:rsid w:val="00156D06"/>
    <w:rsid w:val="0016106D"/>
    <w:rsid w:val="001613C9"/>
    <w:rsid w:val="00161A8B"/>
    <w:rsid w:val="00164316"/>
    <w:rsid w:val="00172EA9"/>
    <w:rsid w:val="00176E1A"/>
    <w:rsid w:val="00180112"/>
    <w:rsid w:val="001806E7"/>
    <w:rsid w:val="00187419"/>
    <w:rsid w:val="001908D7"/>
    <w:rsid w:val="00194E56"/>
    <w:rsid w:val="001975D4"/>
    <w:rsid w:val="001A797D"/>
    <w:rsid w:val="001C71CF"/>
    <w:rsid w:val="001D4AE2"/>
    <w:rsid w:val="001E067B"/>
    <w:rsid w:val="001E2AA3"/>
    <w:rsid w:val="001E68D2"/>
    <w:rsid w:val="001E7BE2"/>
    <w:rsid w:val="001F1A75"/>
    <w:rsid w:val="001F7CED"/>
    <w:rsid w:val="00201653"/>
    <w:rsid w:val="00203943"/>
    <w:rsid w:val="002077DE"/>
    <w:rsid w:val="0021773A"/>
    <w:rsid w:val="00217C87"/>
    <w:rsid w:val="00223C00"/>
    <w:rsid w:val="00224EBB"/>
    <w:rsid w:val="00232103"/>
    <w:rsid w:val="00241152"/>
    <w:rsid w:val="00245461"/>
    <w:rsid w:val="00245524"/>
    <w:rsid w:val="00257BDD"/>
    <w:rsid w:val="002635D5"/>
    <w:rsid w:val="002734FF"/>
    <w:rsid w:val="00281795"/>
    <w:rsid w:val="0028490D"/>
    <w:rsid w:val="00286FE9"/>
    <w:rsid w:val="00291276"/>
    <w:rsid w:val="00293236"/>
    <w:rsid w:val="002A42CC"/>
    <w:rsid w:val="002A5C05"/>
    <w:rsid w:val="002A70BB"/>
    <w:rsid w:val="002A751F"/>
    <w:rsid w:val="002B2369"/>
    <w:rsid w:val="002B6785"/>
    <w:rsid w:val="002C39FB"/>
    <w:rsid w:val="002C7F40"/>
    <w:rsid w:val="002D79B9"/>
    <w:rsid w:val="002E2C5B"/>
    <w:rsid w:val="002E4BEB"/>
    <w:rsid w:val="002F03A8"/>
    <w:rsid w:val="002F0B85"/>
    <w:rsid w:val="002F36CE"/>
    <w:rsid w:val="002F4800"/>
    <w:rsid w:val="00303231"/>
    <w:rsid w:val="003039CF"/>
    <w:rsid w:val="00307FB2"/>
    <w:rsid w:val="00310663"/>
    <w:rsid w:val="00310958"/>
    <w:rsid w:val="00311A6D"/>
    <w:rsid w:val="003174F5"/>
    <w:rsid w:val="003208AF"/>
    <w:rsid w:val="003210D2"/>
    <w:rsid w:val="00332D9F"/>
    <w:rsid w:val="0033519F"/>
    <w:rsid w:val="00337275"/>
    <w:rsid w:val="00337D45"/>
    <w:rsid w:val="00340F66"/>
    <w:rsid w:val="0034563E"/>
    <w:rsid w:val="00355916"/>
    <w:rsid w:val="0035650D"/>
    <w:rsid w:val="003625A0"/>
    <w:rsid w:val="00372EB8"/>
    <w:rsid w:val="003741F7"/>
    <w:rsid w:val="003828AB"/>
    <w:rsid w:val="00384FCC"/>
    <w:rsid w:val="00387892"/>
    <w:rsid w:val="003933F1"/>
    <w:rsid w:val="00393831"/>
    <w:rsid w:val="003A63CD"/>
    <w:rsid w:val="003B241C"/>
    <w:rsid w:val="003B3929"/>
    <w:rsid w:val="003B7A00"/>
    <w:rsid w:val="003C02FF"/>
    <w:rsid w:val="003C0943"/>
    <w:rsid w:val="003C308F"/>
    <w:rsid w:val="003C6189"/>
    <w:rsid w:val="003C684F"/>
    <w:rsid w:val="003C76E4"/>
    <w:rsid w:val="003D34EE"/>
    <w:rsid w:val="003D6643"/>
    <w:rsid w:val="003E3CAF"/>
    <w:rsid w:val="003F06C8"/>
    <w:rsid w:val="003F2259"/>
    <w:rsid w:val="00400891"/>
    <w:rsid w:val="004021A6"/>
    <w:rsid w:val="00402849"/>
    <w:rsid w:val="00404018"/>
    <w:rsid w:val="00405601"/>
    <w:rsid w:val="00405D7E"/>
    <w:rsid w:val="00407778"/>
    <w:rsid w:val="00407821"/>
    <w:rsid w:val="0041043B"/>
    <w:rsid w:val="00411377"/>
    <w:rsid w:val="00413C08"/>
    <w:rsid w:val="00416F0B"/>
    <w:rsid w:val="00422B72"/>
    <w:rsid w:val="00426712"/>
    <w:rsid w:val="00426D94"/>
    <w:rsid w:val="00431A98"/>
    <w:rsid w:val="00435292"/>
    <w:rsid w:val="004442DA"/>
    <w:rsid w:val="0044676F"/>
    <w:rsid w:val="00471C87"/>
    <w:rsid w:val="00472A30"/>
    <w:rsid w:val="00473284"/>
    <w:rsid w:val="00474C0B"/>
    <w:rsid w:val="00475358"/>
    <w:rsid w:val="0047601B"/>
    <w:rsid w:val="00495D2D"/>
    <w:rsid w:val="0049701A"/>
    <w:rsid w:val="004A57DC"/>
    <w:rsid w:val="004A79E9"/>
    <w:rsid w:val="004B4685"/>
    <w:rsid w:val="004C4432"/>
    <w:rsid w:val="004C629B"/>
    <w:rsid w:val="004D3808"/>
    <w:rsid w:val="004D6B9C"/>
    <w:rsid w:val="004E35B5"/>
    <w:rsid w:val="004E3C1C"/>
    <w:rsid w:val="004F01A7"/>
    <w:rsid w:val="004F2132"/>
    <w:rsid w:val="004F3803"/>
    <w:rsid w:val="005005EC"/>
    <w:rsid w:val="00504B1F"/>
    <w:rsid w:val="005079D6"/>
    <w:rsid w:val="00514D9F"/>
    <w:rsid w:val="005153AD"/>
    <w:rsid w:val="00515EB6"/>
    <w:rsid w:val="0051764B"/>
    <w:rsid w:val="00520159"/>
    <w:rsid w:val="005328D1"/>
    <w:rsid w:val="00532D93"/>
    <w:rsid w:val="00542F0D"/>
    <w:rsid w:val="00545CAE"/>
    <w:rsid w:val="0055275F"/>
    <w:rsid w:val="00552D84"/>
    <w:rsid w:val="00552DAC"/>
    <w:rsid w:val="00553438"/>
    <w:rsid w:val="00555412"/>
    <w:rsid w:val="00557B26"/>
    <w:rsid w:val="00562EA0"/>
    <w:rsid w:val="00563640"/>
    <w:rsid w:val="0056441C"/>
    <w:rsid w:val="00572218"/>
    <w:rsid w:val="005738B5"/>
    <w:rsid w:val="00575C08"/>
    <w:rsid w:val="0058521C"/>
    <w:rsid w:val="00591648"/>
    <w:rsid w:val="00594DF6"/>
    <w:rsid w:val="005A0EB3"/>
    <w:rsid w:val="005A20E8"/>
    <w:rsid w:val="005A4057"/>
    <w:rsid w:val="005A415A"/>
    <w:rsid w:val="005A4975"/>
    <w:rsid w:val="005A4E9C"/>
    <w:rsid w:val="005A6F3B"/>
    <w:rsid w:val="005B096C"/>
    <w:rsid w:val="005B45A1"/>
    <w:rsid w:val="005B6B7C"/>
    <w:rsid w:val="005C2210"/>
    <w:rsid w:val="005C4234"/>
    <w:rsid w:val="005C6C17"/>
    <w:rsid w:val="005C7D93"/>
    <w:rsid w:val="005D0F8A"/>
    <w:rsid w:val="005E0CD2"/>
    <w:rsid w:val="005E1B63"/>
    <w:rsid w:val="005E4734"/>
    <w:rsid w:val="005E5AD1"/>
    <w:rsid w:val="005E6BEF"/>
    <w:rsid w:val="005F1233"/>
    <w:rsid w:val="005F2835"/>
    <w:rsid w:val="00600EE2"/>
    <w:rsid w:val="00601C68"/>
    <w:rsid w:val="00603093"/>
    <w:rsid w:val="006046A9"/>
    <w:rsid w:val="0060643C"/>
    <w:rsid w:val="006070D4"/>
    <w:rsid w:val="00607404"/>
    <w:rsid w:val="00610D9B"/>
    <w:rsid w:val="00611944"/>
    <w:rsid w:val="00617A47"/>
    <w:rsid w:val="00621CAE"/>
    <w:rsid w:val="00622B75"/>
    <w:rsid w:val="0063078F"/>
    <w:rsid w:val="006329FA"/>
    <w:rsid w:val="0063331B"/>
    <w:rsid w:val="00634AAD"/>
    <w:rsid w:val="006370D8"/>
    <w:rsid w:val="006406B4"/>
    <w:rsid w:val="00640B04"/>
    <w:rsid w:val="00642D51"/>
    <w:rsid w:val="00646950"/>
    <w:rsid w:val="006476CF"/>
    <w:rsid w:val="0065144A"/>
    <w:rsid w:val="00652EA3"/>
    <w:rsid w:val="00657FC5"/>
    <w:rsid w:val="00674A4F"/>
    <w:rsid w:val="006765D5"/>
    <w:rsid w:val="00677163"/>
    <w:rsid w:val="006844D3"/>
    <w:rsid w:val="00687750"/>
    <w:rsid w:val="006906D3"/>
    <w:rsid w:val="006A041F"/>
    <w:rsid w:val="006A5163"/>
    <w:rsid w:val="006B0C6E"/>
    <w:rsid w:val="006B15A1"/>
    <w:rsid w:val="006B327F"/>
    <w:rsid w:val="006B3476"/>
    <w:rsid w:val="006B5B24"/>
    <w:rsid w:val="006C0C51"/>
    <w:rsid w:val="006C14C6"/>
    <w:rsid w:val="006C4666"/>
    <w:rsid w:val="006C5929"/>
    <w:rsid w:val="006C775D"/>
    <w:rsid w:val="006C7CA5"/>
    <w:rsid w:val="006D0508"/>
    <w:rsid w:val="006D1A36"/>
    <w:rsid w:val="006D2261"/>
    <w:rsid w:val="006D55BB"/>
    <w:rsid w:val="006D5B3C"/>
    <w:rsid w:val="006D778B"/>
    <w:rsid w:val="006E22F1"/>
    <w:rsid w:val="006F3E1B"/>
    <w:rsid w:val="006F3F58"/>
    <w:rsid w:val="006F6F9E"/>
    <w:rsid w:val="00703E08"/>
    <w:rsid w:val="007054B6"/>
    <w:rsid w:val="00706F35"/>
    <w:rsid w:val="00715AD7"/>
    <w:rsid w:val="00720170"/>
    <w:rsid w:val="00727C80"/>
    <w:rsid w:val="00731753"/>
    <w:rsid w:val="00732A81"/>
    <w:rsid w:val="0073499E"/>
    <w:rsid w:val="00734CB0"/>
    <w:rsid w:val="00746777"/>
    <w:rsid w:val="00752D34"/>
    <w:rsid w:val="0075363F"/>
    <w:rsid w:val="0075397A"/>
    <w:rsid w:val="00753BB5"/>
    <w:rsid w:val="00755207"/>
    <w:rsid w:val="00755267"/>
    <w:rsid w:val="00763D48"/>
    <w:rsid w:val="007670D4"/>
    <w:rsid w:val="007711CE"/>
    <w:rsid w:val="00772C8D"/>
    <w:rsid w:val="00773F94"/>
    <w:rsid w:val="00776436"/>
    <w:rsid w:val="00776944"/>
    <w:rsid w:val="0077729F"/>
    <w:rsid w:val="0078101C"/>
    <w:rsid w:val="007911A4"/>
    <w:rsid w:val="007942D2"/>
    <w:rsid w:val="007A491B"/>
    <w:rsid w:val="007B517F"/>
    <w:rsid w:val="007C0FEC"/>
    <w:rsid w:val="007C23EA"/>
    <w:rsid w:val="007D08DB"/>
    <w:rsid w:val="007D097E"/>
    <w:rsid w:val="007D14E7"/>
    <w:rsid w:val="007E0743"/>
    <w:rsid w:val="007E20F9"/>
    <w:rsid w:val="007E40B0"/>
    <w:rsid w:val="007E5101"/>
    <w:rsid w:val="007E54DD"/>
    <w:rsid w:val="007E55E9"/>
    <w:rsid w:val="007E72A1"/>
    <w:rsid w:val="007F6D82"/>
    <w:rsid w:val="007F7268"/>
    <w:rsid w:val="00801732"/>
    <w:rsid w:val="0080396A"/>
    <w:rsid w:val="008076C8"/>
    <w:rsid w:val="00807BA2"/>
    <w:rsid w:val="008139FD"/>
    <w:rsid w:val="00821827"/>
    <w:rsid w:val="008266D7"/>
    <w:rsid w:val="00826AE7"/>
    <w:rsid w:val="008327AA"/>
    <w:rsid w:val="0083711D"/>
    <w:rsid w:val="008453F0"/>
    <w:rsid w:val="0084669F"/>
    <w:rsid w:val="0085169A"/>
    <w:rsid w:val="0085741B"/>
    <w:rsid w:val="00861536"/>
    <w:rsid w:val="008616E5"/>
    <w:rsid w:val="00864BAE"/>
    <w:rsid w:val="0087213F"/>
    <w:rsid w:val="00874274"/>
    <w:rsid w:val="00876767"/>
    <w:rsid w:val="00880772"/>
    <w:rsid w:val="00880ADC"/>
    <w:rsid w:val="00883CC1"/>
    <w:rsid w:val="008841FF"/>
    <w:rsid w:val="00892B4A"/>
    <w:rsid w:val="008A1A32"/>
    <w:rsid w:val="008A2839"/>
    <w:rsid w:val="008A7D6E"/>
    <w:rsid w:val="008B3F72"/>
    <w:rsid w:val="008C230C"/>
    <w:rsid w:val="008C588A"/>
    <w:rsid w:val="008D0A48"/>
    <w:rsid w:val="008D1A97"/>
    <w:rsid w:val="008D2174"/>
    <w:rsid w:val="008D3FC3"/>
    <w:rsid w:val="008D72BC"/>
    <w:rsid w:val="008E0998"/>
    <w:rsid w:val="008E1D8D"/>
    <w:rsid w:val="008E2DAF"/>
    <w:rsid w:val="008E6D35"/>
    <w:rsid w:val="008F2A09"/>
    <w:rsid w:val="008F457F"/>
    <w:rsid w:val="008F570C"/>
    <w:rsid w:val="008F6AA9"/>
    <w:rsid w:val="008F6C0E"/>
    <w:rsid w:val="00900B91"/>
    <w:rsid w:val="00903C43"/>
    <w:rsid w:val="00904017"/>
    <w:rsid w:val="0090426F"/>
    <w:rsid w:val="00904B1B"/>
    <w:rsid w:val="00907160"/>
    <w:rsid w:val="00907F74"/>
    <w:rsid w:val="00912A0A"/>
    <w:rsid w:val="00915D95"/>
    <w:rsid w:val="00916959"/>
    <w:rsid w:val="00923C25"/>
    <w:rsid w:val="0092664F"/>
    <w:rsid w:val="00927588"/>
    <w:rsid w:val="00930BC2"/>
    <w:rsid w:val="00931B6C"/>
    <w:rsid w:val="0094020D"/>
    <w:rsid w:val="009403C5"/>
    <w:rsid w:val="0094206F"/>
    <w:rsid w:val="00943569"/>
    <w:rsid w:val="00943A90"/>
    <w:rsid w:val="00953C80"/>
    <w:rsid w:val="00955375"/>
    <w:rsid w:val="009553EF"/>
    <w:rsid w:val="00961A2C"/>
    <w:rsid w:val="00973595"/>
    <w:rsid w:val="00980C08"/>
    <w:rsid w:val="00981A7A"/>
    <w:rsid w:val="00981AB1"/>
    <w:rsid w:val="009837ED"/>
    <w:rsid w:val="0098399D"/>
    <w:rsid w:val="00992B37"/>
    <w:rsid w:val="009A4941"/>
    <w:rsid w:val="009A6646"/>
    <w:rsid w:val="009B14C8"/>
    <w:rsid w:val="009B2A10"/>
    <w:rsid w:val="009B4AC0"/>
    <w:rsid w:val="009B5940"/>
    <w:rsid w:val="009B6405"/>
    <w:rsid w:val="009B66B5"/>
    <w:rsid w:val="009B78EB"/>
    <w:rsid w:val="009C1264"/>
    <w:rsid w:val="009C220D"/>
    <w:rsid w:val="009E02BA"/>
    <w:rsid w:val="009E2AD4"/>
    <w:rsid w:val="009E46B2"/>
    <w:rsid w:val="009F03EA"/>
    <w:rsid w:val="009F20C7"/>
    <w:rsid w:val="009F5F18"/>
    <w:rsid w:val="009F609D"/>
    <w:rsid w:val="00A01BDE"/>
    <w:rsid w:val="00A06450"/>
    <w:rsid w:val="00A15D42"/>
    <w:rsid w:val="00A23C50"/>
    <w:rsid w:val="00A26D25"/>
    <w:rsid w:val="00A35842"/>
    <w:rsid w:val="00A4217D"/>
    <w:rsid w:val="00A45D2A"/>
    <w:rsid w:val="00A50840"/>
    <w:rsid w:val="00A526D2"/>
    <w:rsid w:val="00A65E85"/>
    <w:rsid w:val="00A67787"/>
    <w:rsid w:val="00A86355"/>
    <w:rsid w:val="00A876C1"/>
    <w:rsid w:val="00A92066"/>
    <w:rsid w:val="00A92838"/>
    <w:rsid w:val="00A94C99"/>
    <w:rsid w:val="00A9626E"/>
    <w:rsid w:val="00AA034D"/>
    <w:rsid w:val="00AA0602"/>
    <w:rsid w:val="00AA19C7"/>
    <w:rsid w:val="00AA3DDF"/>
    <w:rsid w:val="00AB136F"/>
    <w:rsid w:val="00AB1D3B"/>
    <w:rsid w:val="00AB449B"/>
    <w:rsid w:val="00AB4B30"/>
    <w:rsid w:val="00AB4C76"/>
    <w:rsid w:val="00AB6A01"/>
    <w:rsid w:val="00AC0A58"/>
    <w:rsid w:val="00AC1DCD"/>
    <w:rsid w:val="00AC541C"/>
    <w:rsid w:val="00AD0DD9"/>
    <w:rsid w:val="00AD4786"/>
    <w:rsid w:val="00AE4649"/>
    <w:rsid w:val="00AE5225"/>
    <w:rsid w:val="00AF0309"/>
    <w:rsid w:val="00B05003"/>
    <w:rsid w:val="00B06C44"/>
    <w:rsid w:val="00B1035B"/>
    <w:rsid w:val="00B3590E"/>
    <w:rsid w:val="00B379CA"/>
    <w:rsid w:val="00B40C09"/>
    <w:rsid w:val="00B4273C"/>
    <w:rsid w:val="00B469F9"/>
    <w:rsid w:val="00B53F9D"/>
    <w:rsid w:val="00B55265"/>
    <w:rsid w:val="00B60435"/>
    <w:rsid w:val="00B63A65"/>
    <w:rsid w:val="00B7187C"/>
    <w:rsid w:val="00B72753"/>
    <w:rsid w:val="00B764B7"/>
    <w:rsid w:val="00B83035"/>
    <w:rsid w:val="00B834F6"/>
    <w:rsid w:val="00B8352C"/>
    <w:rsid w:val="00B86C5B"/>
    <w:rsid w:val="00B8787C"/>
    <w:rsid w:val="00B92336"/>
    <w:rsid w:val="00B93402"/>
    <w:rsid w:val="00B964E9"/>
    <w:rsid w:val="00BA781E"/>
    <w:rsid w:val="00BB00EC"/>
    <w:rsid w:val="00BB5DDB"/>
    <w:rsid w:val="00BD316A"/>
    <w:rsid w:val="00BD50CF"/>
    <w:rsid w:val="00BD55B6"/>
    <w:rsid w:val="00BD5603"/>
    <w:rsid w:val="00BE126F"/>
    <w:rsid w:val="00BE1BA9"/>
    <w:rsid w:val="00BE2555"/>
    <w:rsid w:val="00BE33E7"/>
    <w:rsid w:val="00BE6830"/>
    <w:rsid w:val="00BF255A"/>
    <w:rsid w:val="00BF7268"/>
    <w:rsid w:val="00BF7AB1"/>
    <w:rsid w:val="00C02A78"/>
    <w:rsid w:val="00C02B9B"/>
    <w:rsid w:val="00C03B2A"/>
    <w:rsid w:val="00C04DB3"/>
    <w:rsid w:val="00C0566A"/>
    <w:rsid w:val="00C067F0"/>
    <w:rsid w:val="00C06876"/>
    <w:rsid w:val="00C1460C"/>
    <w:rsid w:val="00C22E23"/>
    <w:rsid w:val="00C27B3B"/>
    <w:rsid w:val="00C27D3C"/>
    <w:rsid w:val="00C353C6"/>
    <w:rsid w:val="00C364E6"/>
    <w:rsid w:val="00C504B3"/>
    <w:rsid w:val="00C50DEB"/>
    <w:rsid w:val="00C52A60"/>
    <w:rsid w:val="00C6294D"/>
    <w:rsid w:val="00C635CA"/>
    <w:rsid w:val="00C746DA"/>
    <w:rsid w:val="00C77CCD"/>
    <w:rsid w:val="00C808B5"/>
    <w:rsid w:val="00C83787"/>
    <w:rsid w:val="00C8717F"/>
    <w:rsid w:val="00C97048"/>
    <w:rsid w:val="00CA3002"/>
    <w:rsid w:val="00CB3A1C"/>
    <w:rsid w:val="00CB4C12"/>
    <w:rsid w:val="00CB6FA8"/>
    <w:rsid w:val="00CB7640"/>
    <w:rsid w:val="00CC1036"/>
    <w:rsid w:val="00CD406D"/>
    <w:rsid w:val="00CE1AA3"/>
    <w:rsid w:val="00CE4ED8"/>
    <w:rsid w:val="00CE6674"/>
    <w:rsid w:val="00CF335B"/>
    <w:rsid w:val="00CF3A7F"/>
    <w:rsid w:val="00CF3CB6"/>
    <w:rsid w:val="00CF4F5D"/>
    <w:rsid w:val="00CF5D12"/>
    <w:rsid w:val="00CF620E"/>
    <w:rsid w:val="00D032A3"/>
    <w:rsid w:val="00D13DBD"/>
    <w:rsid w:val="00D14F9C"/>
    <w:rsid w:val="00D15A70"/>
    <w:rsid w:val="00D20F26"/>
    <w:rsid w:val="00D247B3"/>
    <w:rsid w:val="00D27231"/>
    <w:rsid w:val="00D319D2"/>
    <w:rsid w:val="00D32077"/>
    <w:rsid w:val="00D3373B"/>
    <w:rsid w:val="00D41CCA"/>
    <w:rsid w:val="00D42D82"/>
    <w:rsid w:val="00D46861"/>
    <w:rsid w:val="00D47C8A"/>
    <w:rsid w:val="00D57E1D"/>
    <w:rsid w:val="00D6156C"/>
    <w:rsid w:val="00D64A95"/>
    <w:rsid w:val="00D6636F"/>
    <w:rsid w:val="00D83AC9"/>
    <w:rsid w:val="00D84F81"/>
    <w:rsid w:val="00D91699"/>
    <w:rsid w:val="00D95D4E"/>
    <w:rsid w:val="00DC36F6"/>
    <w:rsid w:val="00DC47B1"/>
    <w:rsid w:val="00DD2609"/>
    <w:rsid w:val="00DD4704"/>
    <w:rsid w:val="00DD5606"/>
    <w:rsid w:val="00DD7B33"/>
    <w:rsid w:val="00DE5DFF"/>
    <w:rsid w:val="00DF1314"/>
    <w:rsid w:val="00DF2C19"/>
    <w:rsid w:val="00DF41D9"/>
    <w:rsid w:val="00DF4619"/>
    <w:rsid w:val="00DF7645"/>
    <w:rsid w:val="00DF7B99"/>
    <w:rsid w:val="00E02EE9"/>
    <w:rsid w:val="00E03996"/>
    <w:rsid w:val="00E0414A"/>
    <w:rsid w:val="00E134F1"/>
    <w:rsid w:val="00E143F9"/>
    <w:rsid w:val="00E20C98"/>
    <w:rsid w:val="00E211D6"/>
    <w:rsid w:val="00E212CB"/>
    <w:rsid w:val="00E239C5"/>
    <w:rsid w:val="00E23C7A"/>
    <w:rsid w:val="00E30056"/>
    <w:rsid w:val="00E34064"/>
    <w:rsid w:val="00E3554E"/>
    <w:rsid w:val="00E40602"/>
    <w:rsid w:val="00E43E0C"/>
    <w:rsid w:val="00E460C4"/>
    <w:rsid w:val="00E5359E"/>
    <w:rsid w:val="00E54891"/>
    <w:rsid w:val="00E5520B"/>
    <w:rsid w:val="00E64FB0"/>
    <w:rsid w:val="00E67A1F"/>
    <w:rsid w:val="00E772D5"/>
    <w:rsid w:val="00E87CB8"/>
    <w:rsid w:val="00E9341D"/>
    <w:rsid w:val="00E969C2"/>
    <w:rsid w:val="00EA0CB7"/>
    <w:rsid w:val="00EA15C3"/>
    <w:rsid w:val="00EA1647"/>
    <w:rsid w:val="00EA2EBE"/>
    <w:rsid w:val="00EA4707"/>
    <w:rsid w:val="00EA550E"/>
    <w:rsid w:val="00EA7208"/>
    <w:rsid w:val="00EC08DB"/>
    <w:rsid w:val="00EC223C"/>
    <w:rsid w:val="00EC58D0"/>
    <w:rsid w:val="00EC5E79"/>
    <w:rsid w:val="00ED2FBA"/>
    <w:rsid w:val="00ED6E0A"/>
    <w:rsid w:val="00EE7A04"/>
    <w:rsid w:val="00EF5681"/>
    <w:rsid w:val="00F03BAD"/>
    <w:rsid w:val="00F210EA"/>
    <w:rsid w:val="00F25720"/>
    <w:rsid w:val="00F3035B"/>
    <w:rsid w:val="00F30D72"/>
    <w:rsid w:val="00F32678"/>
    <w:rsid w:val="00F35535"/>
    <w:rsid w:val="00F35736"/>
    <w:rsid w:val="00F459C0"/>
    <w:rsid w:val="00F46F67"/>
    <w:rsid w:val="00F537F8"/>
    <w:rsid w:val="00F61AAF"/>
    <w:rsid w:val="00F63359"/>
    <w:rsid w:val="00F66AA3"/>
    <w:rsid w:val="00F70A51"/>
    <w:rsid w:val="00F7686F"/>
    <w:rsid w:val="00F77259"/>
    <w:rsid w:val="00F8682F"/>
    <w:rsid w:val="00F9566F"/>
    <w:rsid w:val="00F96318"/>
    <w:rsid w:val="00F96F69"/>
    <w:rsid w:val="00FA061F"/>
    <w:rsid w:val="00FB1042"/>
    <w:rsid w:val="00FB6792"/>
    <w:rsid w:val="00FB7533"/>
    <w:rsid w:val="00FC0130"/>
    <w:rsid w:val="00FC31E7"/>
    <w:rsid w:val="00FC401E"/>
    <w:rsid w:val="00FC4393"/>
    <w:rsid w:val="00FD1429"/>
    <w:rsid w:val="00FD5537"/>
    <w:rsid w:val="00FD6576"/>
    <w:rsid w:val="00FE008D"/>
    <w:rsid w:val="00FE0A2A"/>
    <w:rsid w:val="00FE41F7"/>
    <w:rsid w:val="00FE48FA"/>
    <w:rsid w:val="00FF327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1 Char,Char Char4,Char1 Char Char1,Char1 Char Char Char,Char1,Char2,Cabeçalho1,Char1 Char Char2,Char1 Char Char3,Char1 Char Char Char Char Char,Char1 Char Char3 Char Char,Char1 Char Char3 Char Char Char Char,Char1 Char Char3 Char1 Cha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aliases w:val="Char1 Char Char,Char Char4 Char,Char1 Char Char1 Char,Char1 Char Char Char Char,Char1 Char1,Char2 Char,Cabeçalho1 Char,Char1 Char Char2 Char,Char1 Char Char3 Char,Char1 Char Char Char Char Char Char,Char1 Char Char3 Char Char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3">
    <w:name w:val="Body Text 3"/>
    <w:basedOn w:val="Normal"/>
    <w:link w:val="Corpodetexto3Char"/>
    <w:uiPriority w:val="99"/>
    <w:unhideWhenUsed/>
    <w:rsid w:val="00BD50CF"/>
    <w:pPr>
      <w:spacing w:after="120"/>
    </w:pPr>
    <w:rPr>
      <w:sz w:val="16"/>
      <w:szCs w:val="16"/>
    </w:rPr>
  </w:style>
  <w:style w:type="character" w:customStyle="1" w:styleId="Corpodetexto3Char">
    <w:name w:val="Corpo de texto 3 Char"/>
    <w:basedOn w:val="Fontepargpadro"/>
    <w:link w:val="Corpodetexto3"/>
    <w:uiPriority w:val="99"/>
    <w:rsid w:val="00BD50C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1 Char,Char Char4,Char1 Char Char1,Char1 Char Char Char,Char1,Char2,Cabeçalho1,Char1 Char Char2,Char1 Char Char3,Char1 Char Char Char Char Char,Char1 Char Char3 Char Char,Char1 Char Char3 Char Char Char Char,Char1 Char Char3 Char1 Cha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aliases w:val="Char1 Char Char,Char Char4 Char,Char1 Char Char1 Char,Char1 Char Char Char Char,Char1 Char1,Char2 Char,Cabeçalho1 Char,Char1 Char Char2 Char,Char1 Char Char3 Char,Char1 Char Char Char Char Char Char,Char1 Char Char3 Char Char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3">
    <w:name w:val="Body Text 3"/>
    <w:basedOn w:val="Normal"/>
    <w:link w:val="Corpodetexto3Char"/>
    <w:uiPriority w:val="99"/>
    <w:unhideWhenUsed/>
    <w:rsid w:val="00BD50CF"/>
    <w:pPr>
      <w:spacing w:after="120"/>
    </w:pPr>
    <w:rPr>
      <w:sz w:val="16"/>
      <w:szCs w:val="16"/>
    </w:rPr>
  </w:style>
  <w:style w:type="character" w:customStyle="1" w:styleId="Corpodetexto3Char">
    <w:name w:val="Corpo de texto 3 Char"/>
    <w:basedOn w:val="Fontepargpadro"/>
    <w:link w:val="Corpodetexto3"/>
    <w:uiPriority w:val="99"/>
    <w:rsid w:val="00BD50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2785">
      <w:bodyDiv w:val="1"/>
      <w:marLeft w:val="0"/>
      <w:marRight w:val="0"/>
      <w:marTop w:val="0"/>
      <w:marBottom w:val="0"/>
      <w:divBdr>
        <w:top w:val="none" w:sz="0" w:space="0" w:color="auto"/>
        <w:left w:val="none" w:sz="0" w:space="0" w:color="auto"/>
        <w:bottom w:val="none" w:sz="0" w:space="0" w:color="auto"/>
        <w:right w:val="none" w:sz="0" w:space="0" w:color="auto"/>
      </w:divBdr>
    </w:div>
    <w:div w:id="169950358">
      <w:bodyDiv w:val="1"/>
      <w:marLeft w:val="0"/>
      <w:marRight w:val="0"/>
      <w:marTop w:val="0"/>
      <w:marBottom w:val="0"/>
      <w:divBdr>
        <w:top w:val="none" w:sz="0" w:space="0" w:color="auto"/>
        <w:left w:val="none" w:sz="0" w:space="0" w:color="auto"/>
        <w:bottom w:val="none" w:sz="0" w:space="0" w:color="auto"/>
        <w:right w:val="none" w:sz="0" w:space="0" w:color="auto"/>
      </w:divBdr>
    </w:div>
    <w:div w:id="290013533">
      <w:bodyDiv w:val="1"/>
      <w:marLeft w:val="0"/>
      <w:marRight w:val="0"/>
      <w:marTop w:val="0"/>
      <w:marBottom w:val="0"/>
      <w:divBdr>
        <w:top w:val="none" w:sz="0" w:space="0" w:color="auto"/>
        <w:left w:val="none" w:sz="0" w:space="0" w:color="auto"/>
        <w:bottom w:val="none" w:sz="0" w:space="0" w:color="auto"/>
        <w:right w:val="none" w:sz="0" w:space="0" w:color="auto"/>
      </w:divBdr>
    </w:div>
    <w:div w:id="396323857">
      <w:bodyDiv w:val="1"/>
      <w:marLeft w:val="0"/>
      <w:marRight w:val="0"/>
      <w:marTop w:val="0"/>
      <w:marBottom w:val="0"/>
      <w:divBdr>
        <w:top w:val="none" w:sz="0" w:space="0" w:color="auto"/>
        <w:left w:val="none" w:sz="0" w:space="0" w:color="auto"/>
        <w:bottom w:val="none" w:sz="0" w:space="0" w:color="auto"/>
        <w:right w:val="none" w:sz="0" w:space="0" w:color="auto"/>
      </w:divBdr>
    </w:div>
    <w:div w:id="514077010">
      <w:bodyDiv w:val="1"/>
      <w:marLeft w:val="0"/>
      <w:marRight w:val="0"/>
      <w:marTop w:val="0"/>
      <w:marBottom w:val="0"/>
      <w:divBdr>
        <w:top w:val="none" w:sz="0" w:space="0" w:color="auto"/>
        <w:left w:val="none" w:sz="0" w:space="0" w:color="auto"/>
        <w:bottom w:val="none" w:sz="0" w:space="0" w:color="auto"/>
        <w:right w:val="none" w:sz="0" w:space="0" w:color="auto"/>
      </w:divBdr>
    </w:div>
    <w:div w:id="598566457">
      <w:bodyDiv w:val="1"/>
      <w:marLeft w:val="0"/>
      <w:marRight w:val="0"/>
      <w:marTop w:val="0"/>
      <w:marBottom w:val="0"/>
      <w:divBdr>
        <w:top w:val="none" w:sz="0" w:space="0" w:color="auto"/>
        <w:left w:val="none" w:sz="0" w:space="0" w:color="auto"/>
        <w:bottom w:val="none" w:sz="0" w:space="0" w:color="auto"/>
        <w:right w:val="none" w:sz="0" w:space="0" w:color="auto"/>
      </w:divBdr>
    </w:div>
    <w:div w:id="612324308">
      <w:bodyDiv w:val="1"/>
      <w:marLeft w:val="0"/>
      <w:marRight w:val="0"/>
      <w:marTop w:val="0"/>
      <w:marBottom w:val="0"/>
      <w:divBdr>
        <w:top w:val="none" w:sz="0" w:space="0" w:color="auto"/>
        <w:left w:val="none" w:sz="0" w:space="0" w:color="auto"/>
        <w:bottom w:val="none" w:sz="0" w:space="0" w:color="auto"/>
        <w:right w:val="none" w:sz="0" w:space="0" w:color="auto"/>
      </w:divBdr>
    </w:div>
    <w:div w:id="681514869">
      <w:bodyDiv w:val="1"/>
      <w:marLeft w:val="0"/>
      <w:marRight w:val="0"/>
      <w:marTop w:val="0"/>
      <w:marBottom w:val="0"/>
      <w:divBdr>
        <w:top w:val="none" w:sz="0" w:space="0" w:color="auto"/>
        <w:left w:val="none" w:sz="0" w:space="0" w:color="auto"/>
        <w:bottom w:val="none" w:sz="0" w:space="0" w:color="auto"/>
        <w:right w:val="none" w:sz="0" w:space="0" w:color="auto"/>
      </w:divBdr>
    </w:div>
    <w:div w:id="777020210">
      <w:bodyDiv w:val="1"/>
      <w:marLeft w:val="0"/>
      <w:marRight w:val="0"/>
      <w:marTop w:val="0"/>
      <w:marBottom w:val="0"/>
      <w:divBdr>
        <w:top w:val="none" w:sz="0" w:space="0" w:color="auto"/>
        <w:left w:val="none" w:sz="0" w:space="0" w:color="auto"/>
        <w:bottom w:val="none" w:sz="0" w:space="0" w:color="auto"/>
        <w:right w:val="none" w:sz="0" w:space="0" w:color="auto"/>
      </w:divBdr>
    </w:div>
    <w:div w:id="911230625">
      <w:bodyDiv w:val="1"/>
      <w:marLeft w:val="0"/>
      <w:marRight w:val="0"/>
      <w:marTop w:val="0"/>
      <w:marBottom w:val="0"/>
      <w:divBdr>
        <w:top w:val="none" w:sz="0" w:space="0" w:color="auto"/>
        <w:left w:val="none" w:sz="0" w:space="0" w:color="auto"/>
        <w:bottom w:val="none" w:sz="0" w:space="0" w:color="auto"/>
        <w:right w:val="none" w:sz="0" w:space="0" w:color="auto"/>
      </w:divBdr>
    </w:div>
    <w:div w:id="1242524290">
      <w:bodyDiv w:val="1"/>
      <w:marLeft w:val="0"/>
      <w:marRight w:val="0"/>
      <w:marTop w:val="0"/>
      <w:marBottom w:val="0"/>
      <w:divBdr>
        <w:top w:val="none" w:sz="0" w:space="0" w:color="auto"/>
        <w:left w:val="none" w:sz="0" w:space="0" w:color="auto"/>
        <w:bottom w:val="none" w:sz="0" w:space="0" w:color="auto"/>
        <w:right w:val="none" w:sz="0" w:space="0" w:color="auto"/>
      </w:divBdr>
    </w:div>
    <w:div w:id="1250238763">
      <w:bodyDiv w:val="1"/>
      <w:marLeft w:val="0"/>
      <w:marRight w:val="0"/>
      <w:marTop w:val="0"/>
      <w:marBottom w:val="0"/>
      <w:divBdr>
        <w:top w:val="none" w:sz="0" w:space="0" w:color="auto"/>
        <w:left w:val="none" w:sz="0" w:space="0" w:color="auto"/>
        <w:bottom w:val="none" w:sz="0" w:space="0" w:color="auto"/>
        <w:right w:val="none" w:sz="0" w:space="0" w:color="auto"/>
      </w:divBdr>
    </w:div>
    <w:div w:id="1288779071">
      <w:bodyDiv w:val="1"/>
      <w:marLeft w:val="0"/>
      <w:marRight w:val="0"/>
      <w:marTop w:val="0"/>
      <w:marBottom w:val="0"/>
      <w:divBdr>
        <w:top w:val="none" w:sz="0" w:space="0" w:color="auto"/>
        <w:left w:val="none" w:sz="0" w:space="0" w:color="auto"/>
        <w:bottom w:val="none" w:sz="0" w:space="0" w:color="auto"/>
        <w:right w:val="none" w:sz="0" w:space="0" w:color="auto"/>
      </w:divBdr>
    </w:div>
    <w:div w:id="1289167120">
      <w:bodyDiv w:val="1"/>
      <w:marLeft w:val="0"/>
      <w:marRight w:val="0"/>
      <w:marTop w:val="0"/>
      <w:marBottom w:val="0"/>
      <w:divBdr>
        <w:top w:val="none" w:sz="0" w:space="0" w:color="auto"/>
        <w:left w:val="none" w:sz="0" w:space="0" w:color="auto"/>
        <w:bottom w:val="none" w:sz="0" w:space="0" w:color="auto"/>
        <w:right w:val="none" w:sz="0" w:space="0" w:color="auto"/>
      </w:divBdr>
    </w:div>
    <w:div w:id="1456486209">
      <w:bodyDiv w:val="1"/>
      <w:marLeft w:val="0"/>
      <w:marRight w:val="0"/>
      <w:marTop w:val="0"/>
      <w:marBottom w:val="0"/>
      <w:divBdr>
        <w:top w:val="none" w:sz="0" w:space="0" w:color="auto"/>
        <w:left w:val="none" w:sz="0" w:space="0" w:color="auto"/>
        <w:bottom w:val="none" w:sz="0" w:space="0" w:color="auto"/>
        <w:right w:val="none" w:sz="0" w:space="0" w:color="auto"/>
      </w:divBdr>
    </w:div>
    <w:div w:id="1490947235">
      <w:bodyDiv w:val="1"/>
      <w:marLeft w:val="0"/>
      <w:marRight w:val="0"/>
      <w:marTop w:val="0"/>
      <w:marBottom w:val="0"/>
      <w:divBdr>
        <w:top w:val="none" w:sz="0" w:space="0" w:color="auto"/>
        <w:left w:val="none" w:sz="0" w:space="0" w:color="auto"/>
        <w:bottom w:val="none" w:sz="0" w:space="0" w:color="auto"/>
        <w:right w:val="none" w:sz="0" w:space="0" w:color="auto"/>
      </w:divBdr>
    </w:div>
    <w:div w:id="1545286305">
      <w:bodyDiv w:val="1"/>
      <w:marLeft w:val="0"/>
      <w:marRight w:val="0"/>
      <w:marTop w:val="0"/>
      <w:marBottom w:val="0"/>
      <w:divBdr>
        <w:top w:val="none" w:sz="0" w:space="0" w:color="auto"/>
        <w:left w:val="none" w:sz="0" w:space="0" w:color="auto"/>
        <w:bottom w:val="none" w:sz="0" w:space="0" w:color="auto"/>
        <w:right w:val="none" w:sz="0" w:space="0" w:color="auto"/>
      </w:divBdr>
    </w:div>
    <w:div w:id="1599676811">
      <w:bodyDiv w:val="1"/>
      <w:marLeft w:val="0"/>
      <w:marRight w:val="0"/>
      <w:marTop w:val="0"/>
      <w:marBottom w:val="0"/>
      <w:divBdr>
        <w:top w:val="none" w:sz="0" w:space="0" w:color="auto"/>
        <w:left w:val="none" w:sz="0" w:space="0" w:color="auto"/>
        <w:bottom w:val="none" w:sz="0" w:space="0" w:color="auto"/>
        <w:right w:val="none" w:sz="0" w:space="0" w:color="auto"/>
      </w:divBdr>
    </w:div>
    <w:div w:id="1689217737">
      <w:bodyDiv w:val="1"/>
      <w:marLeft w:val="0"/>
      <w:marRight w:val="0"/>
      <w:marTop w:val="0"/>
      <w:marBottom w:val="0"/>
      <w:divBdr>
        <w:top w:val="none" w:sz="0" w:space="0" w:color="auto"/>
        <w:left w:val="none" w:sz="0" w:space="0" w:color="auto"/>
        <w:bottom w:val="none" w:sz="0" w:space="0" w:color="auto"/>
        <w:right w:val="none" w:sz="0" w:space="0" w:color="auto"/>
      </w:divBdr>
    </w:div>
    <w:div w:id="1752660865">
      <w:bodyDiv w:val="1"/>
      <w:marLeft w:val="0"/>
      <w:marRight w:val="0"/>
      <w:marTop w:val="0"/>
      <w:marBottom w:val="0"/>
      <w:divBdr>
        <w:top w:val="none" w:sz="0" w:space="0" w:color="auto"/>
        <w:left w:val="none" w:sz="0" w:space="0" w:color="auto"/>
        <w:bottom w:val="none" w:sz="0" w:space="0" w:color="auto"/>
        <w:right w:val="none" w:sz="0" w:space="0" w:color="auto"/>
      </w:divBdr>
    </w:div>
    <w:div w:id="1785995615">
      <w:bodyDiv w:val="1"/>
      <w:marLeft w:val="0"/>
      <w:marRight w:val="0"/>
      <w:marTop w:val="0"/>
      <w:marBottom w:val="0"/>
      <w:divBdr>
        <w:top w:val="none" w:sz="0" w:space="0" w:color="auto"/>
        <w:left w:val="none" w:sz="0" w:space="0" w:color="auto"/>
        <w:bottom w:val="none" w:sz="0" w:space="0" w:color="auto"/>
        <w:right w:val="none" w:sz="0" w:space="0" w:color="auto"/>
      </w:divBdr>
    </w:div>
    <w:div w:id="1826821318">
      <w:bodyDiv w:val="1"/>
      <w:marLeft w:val="0"/>
      <w:marRight w:val="0"/>
      <w:marTop w:val="0"/>
      <w:marBottom w:val="0"/>
      <w:divBdr>
        <w:top w:val="none" w:sz="0" w:space="0" w:color="auto"/>
        <w:left w:val="none" w:sz="0" w:space="0" w:color="auto"/>
        <w:bottom w:val="none" w:sz="0" w:space="0" w:color="auto"/>
        <w:right w:val="none" w:sz="0" w:space="0" w:color="auto"/>
      </w:divBdr>
    </w:div>
    <w:div w:id="1844514552">
      <w:bodyDiv w:val="1"/>
      <w:marLeft w:val="0"/>
      <w:marRight w:val="0"/>
      <w:marTop w:val="0"/>
      <w:marBottom w:val="0"/>
      <w:divBdr>
        <w:top w:val="none" w:sz="0" w:space="0" w:color="auto"/>
        <w:left w:val="none" w:sz="0" w:space="0" w:color="auto"/>
        <w:bottom w:val="none" w:sz="0" w:space="0" w:color="auto"/>
        <w:right w:val="none" w:sz="0" w:space="0" w:color="auto"/>
      </w:divBdr>
    </w:div>
    <w:div w:id="1885674694">
      <w:bodyDiv w:val="1"/>
      <w:marLeft w:val="0"/>
      <w:marRight w:val="0"/>
      <w:marTop w:val="0"/>
      <w:marBottom w:val="0"/>
      <w:divBdr>
        <w:top w:val="none" w:sz="0" w:space="0" w:color="auto"/>
        <w:left w:val="none" w:sz="0" w:space="0" w:color="auto"/>
        <w:bottom w:val="none" w:sz="0" w:space="0" w:color="auto"/>
        <w:right w:val="none" w:sz="0" w:space="0" w:color="auto"/>
      </w:divBdr>
    </w:div>
    <w:div w:id="2034334574">
      <w:bodyDiv w:val="1"/>
      <w:marLeft w:val="0"/>
      <w:marRight w:val="0"/>
      <w:marTop w:val="0"/>
      <w:marBottom w:val="0"/>
      <w:divBdr>
        <w:top w:val="none" w:sz="0" w:space="0" w:color="auto"/>
        <w:left w:val="none" w:sz="0" w:space="0" w:color="auto"/>
        <w:bottom w:val="none" w:sz="0" w:space="0" w:color="auto"/>
        <w:right w:val="none" w:sz="0" w:space="0" w:color="auto"/>
      </w:divBdr>
    </w:div>
    <w:div w:id="21416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7701-8BB3-413B-8CD1-25718250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609</Words>
  <Characters>3395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Ofício n</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USUARIO</dc:creator>
  <cp:lastModifiedBy>Maria Auxiliadora dos Santos</cp:lastModifiedBy>
  <cp:revision>7</cp:revision>
  <cp:lastPrinted>2014-09-04T14:18:00Z</cp:lastPrinted>
  <dcterms:created xsi:type="dcterms:W3CDTF">2014-09-04T14:14:00Z</dcterms:created>
  <dcterms:modified xsi:type="dcterms:W3CDTF">2014-09-09T12:15:00Z</dcterms:modified>
</cp:coreProperties>
</file>