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3212">
      <w:pPr>
        <w:framePr w:h="1664" w:hSpace="36" w:wrap="notBeside" w:vAnchor="text" w:hAnchor="margin" w:x="-1907" w:y="1"/>
        <w:rPr>
          <w:rFonts w:ascii="Arial" w:hAnsi="Arial" w:cs="Arial"/>
          <w:sz w:val="24"/>
          <w:szCs w:val="24"/>
        </w:rPr>
      </w:pPr>
    </w:p>
    <w:p w:rsidR="00000000" w:rsidRPr="00F23212" w:rsidRDefault="00F23212" w:rsidP="00F23212">
      <w:pPr>
        <w:shd w:val="clear" w:color="auto" w:fill="FFFFFF"/>
        <w:spacing w:before="266" w:after="410" w:line="461" w:lineRule="exact"/>
        <w:rPr>
          <w:sz w:val="22"/>
          <w:szCs w:val="22"/>
        </w:rPr>
        <w:sectPr w:rsidR="00000000" w:rsidRPr="00F23212">
          <w:type w:val="continuous"/>
          <w:pgSz w:w="11909" w:h="16834"/>
          <w:pgMar w:top="1155" w:right="2901" w:bottom="360" w:left="4133" w:header="720" w:footer="720" w:gutter="0"/>
          <w:cols w:space="60"/>
          <w:noEndnote/>
        </w:sectPr>
      </w:pPr>
      <w:r w:rsidRPr="00F23212">
        <w:rPr>
          <w:sz w:val="22"/>
          <w:szCs w:val="22"/>
        </w:rPr>
        <w:lastRenderedPageBreak/>
        <w:t>DECRETO Nº 85</w:t>
      </w:r>
      <w:bookmarkStart w:id="0" w:name="_GoBack"/>
      <w:bookmarkEnd w:id="0"/>
      <w:r w:rsidRPr="00F23212">
        <w:rPr>
          <w:sz w:val="22"/>
          <w:szCs w:val="22"/>
        </w:rPr>
        <w:t>9 DE 08 DE FEVEREIRODE 1983</w:t>
      </w:r>
    </w:p>
    <w:p w:rsidR="00000000" w:rsidRDefault="00F23212">
      <w:pPr>
        <w:shd w:val="clear" w:color="auto" w:fill="FFFFFF"/>
        <w:tabs>
          <w:tab w:val="left" w:pos="4349"/>
        </w:tabs>
        <w:spacing w:before="1001" w:line="482" w:lineRule="exact"/>
        <w:ind w:left="7" w:right="317" w:firstLine="4061"/>
        <w:jc w:val="both"/>
      </w:pPr>
      <w:r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ab/>
        <w:t>GOVERNADOR DO ESTADO DE RONDÔNIA, no</w:t>
      </w:r>
      <w:r>
        <w:rPr>
          <w:color w:val="000000"/>
          <w:sz w:val="22"/>
          <w:szCs w:val="22"/>
        </w:rPr>
        <w:br/>
        <w:t xml:space="preserve">uso de suas </w:t>
      </w:r>
      <w:r>
        <w:rPr>
          <w:color w:val="000000"/>
          <w:spacing w:val="24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>legais:</w:t>
      </w:r>
    </w:p>
    <w:p w:rsidR="00000000" w:rsidRDefault="00F23212">
      <w:pPr>
        <w:shd w:val="clear" w:color="auto" w:fill="FFFFFF"/>
        <w:spacing w:before="734"/>
        <w:ind w:left="4054"/>
      </w:pPr>
      <w:r>
        <w:rPr>
          <w:color w:val="000000"/>
          <w:spacing w:val="114"/>
          <w:sz w:val="22"/>
          <w:szCs w:val="22"/>
        </w:rPr>
        <w:t>DECRETA:</w:t>
      </w:r>
    </w:p>
    <w:p w:rsidR="00000000" w:rsidRDefault="00F23212">
      <w:pPr>
        <w:shd w:val="clear" w:color="auto" w:fill="FFFFFF"/>
        <w:spacing w:before="533" w:line="482" w:lineRule="exact"/>
        <w:ind w:right="310" w:firstLine="4054"/>
        <w:jc w:val="both"/>
      </w:pPr>
      <w:r>
        <w:rPr>
          <w:color w:val="000000"/>
          <w:spacing w:val="-2"/>
          <w:sz w:val="22"/>
          <w:szCs w:val="22"/>
        </w:rPr>
        <w:t>ART. 1º</w:t>
      </w:r>
      <w:r>
        <w:rPr>
          <w:color w:val="000000"/>
          <w:spacing w:val="-2"/>
          <w:sz w:val="22"/>
          <w:szCs w:val="22"/>
        </w:rPr>
        <w:t xml:space="preserve"> - A </w:t>
      </w:r>
      <w:r>
        <w:rPr>
          <w:color w:val="000000"/>
          <w:spacing w:val="19"/>
          <w:sz w:val="22"/>
          <w:szCs w:val="22"/>
        </w:rPr>
        <w:t>Polícia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26"/>
          <w:sz w:val="22"/>
          <w:szCs w:val="22"/>
        </w:rPr>
        <w:t>Militar</w:t>
      </w:r>
      <w:r>
        <w:rPr>
          <w:color w:val="000000"/>
          <w:spacing w:val="-2"/>
          <w:sz w:val="22"/>
          <w:szCs w:val="22"/>
        </w:rPr>
        <w:t xml:space="preserve"> do </w:t>
      </w:r>
      <w:r>
        <w:rPr>
          <w:color w:val="000000"/>
          <w:spacing w:val="15"/>
          <w:sz w:val="22"/>
          <w:szCs w:val="22"/>
        </w:rPr>
        <w:t xml:space="preserve">Estado, </w:t>
      </w:r>
      <w:r>
        <w:rPr>
          <w:color w:val="000000"/>
          <w:sz w:val="22"/>
          <w:szCs w:val="22"/>
        </w:rPr>
        <w:t xml:space="preserve">a pedido da </w:t>
      </w:r>
      <w:r>
        <w:rPr>
          <w:color w:val="000000"/>
          <w:spacing w:val="16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7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do </w:t>
      </w:r>
      <w:r>
        <w:rPr>
          <w:color w:val="000000"/>
          <w:spacing w:val="16"/>
          <w:sz w:val="22"/>
          <w:szCs w:val="22"/>
        </w:rPr>
        <w:t>Interior</w:t>
      </w:r>
      <w:r>
        <w:rPr>
          <w:color w:val="000000"/>
          <w:sz w:val="22"/>
          <w:szCs w:val="22"/>
        </w:rPr>
        <w:t xml:space="preserve"> e </w:t>
      </w:r>
      <w:r>
        <w:rPr>
          <w:color w:val="000000"/>
          <w:spacing w:val="15"/>
          <w:sz w:val="22"/>
          <w:szCs w:val="22"/>
        </w:rPr>
        <w:t>Justiça,</w:t>
      </w:r>
      <w:r>
        <w:rPr>
          <w:color w:val="000000"/>
          <w:sz w:val="22"/>
          <w:szCs w:val="22"/>
        </w:rPr>
        <w:t xml:space="preserve"> promoverá a condução de </w:t>
      </w:r>
      <w:r>
        <w:rPr>
          <w:color w:val="000000"/>
          <w:spacing w:val="14"/>
          <w:sz w:val="22"/>
          <w:szCs w:val="22"/>
        </w:rPr>
        <w:t>presos,</w:t>
      </w:r>
      <w:r>
        <w:rPr>
          <w:color w:val="000000"/>
          <w:sz w:val="22"/>
          <w:szCs w:val="22"/>
        </w:rPr>
        <w:t xml:space="preserve"> quando </w:t>
      </w:r>
      <w:r>
        <w:rPr>
          <w:color w:val="000000"/>
          <w:spacing w:val="10"/>
          <w:sz w:val="22"/>
          <w:szCs w:val="22"/>
        </w:rPr>
        <w:t>necessário,</w:t>
      </w:r>
      <w:r>
        <w:rPr>
          <w:color w:val="000000"/>
          <w:sz w:val="22"/>
          <w:szCs w:val="22"/>
        </w:rPr>
        <w:t xml:space="preserve"> nos casos de:</w:t>
      </w:r>
    </w:p>
    <w:p w:rsidR="00000000" w:rsidRDefault="00F23212" w:rsidP="00F23212">
      <w:pPr>
        <w:shd w:val="clear" w:color="auto" w:fill="FFFFFF"/>
        <w:tabs>
          <w:tab w:val="left" w:pos="4349"/>
        </w:tabs>
        <w:spacing w:line="482" w:lineRule="exact"/>
      </w:pPr>
      <w:r>
        <w:rPr>
          <w:color w:val="000000"/>
          <w:sz w:val="22"/>
          <w:szCs w:val="22"/>
          <w:lang w:val="en-US" w:eastAsia="en-US"/>
        </w:rPr>
        <w:t xml:space="preserve">                                I</w:t>
      </w:r>
      <w:r>
        <w:rPr>
          <w:color w:val="000000"/>
          <w:sz w:val="22"/>
          <w:szCs w:val="22"/>
          <w:lang w:eastAsia="en-US"/>
        </w:rPr>
        <w:t xml:space="preserve">- </w:t>
      </w:r>
      <w:r>
        <w:rPr>
          <w:color w:val="000000"/>
          <w:spacing w:val="19"/>
          <w:sz w:val="22"/>
          <w:szCs w:val="22"/>
          <w:lang w:eastAsia="en-US"/>
        </w:rPr>
        <w:t>Audiências</w:t>
      </w:r>
      <w:r>
        <w:rPr>
          <w:color w:val="000000"/>
          <w:sz w:val="22"/>
          <w:szCs w:val="22"/>
          <w:lang w:eastAsia="en-US"/>
        </w:rPr>
        <w:t xml:space="preserve"> forenses;</w:t>
      </w:r>
    </w:p>
    <w:p w:rsidR="00000000" w:rsidRDefault="00F23212">
      <w:pPr>
        <w:shd w:val="clear" w:color="auto" w:fill="FFFFFF"/>
        <w:spacing w:line="482" w:lineRule="exact"/>
        <w:ind w:right="288"/>
        <w:jc w:val="right"/>
      </w:pPr>
      <w:r>
        <w:rPr>
          <w:color w:val="000000"/>
          <w:sz w:val="22"/>
          <w:szCs w:val="22"/>
          <w:lang w:val="en-US" w:eastAsia="en-US"/>
        </w:rPr>
        <w:t xml:space="preserve">   </w:t>
      </w:r>
      <w:r>
        <w:rPr>
          <w:color w:val="000000"/>
          <w:sz w:val="22"/>
          <w:szCs w:val="22"/>
          <w:lang w:val="en-US" w:eastAsia="en-US"/>
        </w:rPr>
        <w:t xml:space="preserve">II </w:t>
      </w:r>
      <w:r>
        <w:rPr>
          <w:color w:val="000000"/>
          <w:sz w:val="22"/>
          <w:szCs w:val="22"/>
          <w:lang w:eastAsia="en-US"/>
        </w:rPr>
        <w:t xml:space="preserve">- </w:t>
      </w:r>
      <w:r>
        <w:rPr>
          <w:color w:val="000000"/>
          <w:spacing w:val="20"/>
          <w:sz w:val="22"/>
          <w:szCs w:val="22"/>
          <w:lang w:eastAsia="en-US"/>
        </w:rPr>
        <w:t>assistência</w:t>
      </w:r>
      <w:r>
        <w:rPr>
          <w:color w:val="000000"/>
          <w:sz w:val="22"/>
          <w:szCs w:val="22"/>
          <w:lang w:eastAsia="en-US"/>
        </w:rPr>
        <w:t xml:space="preserve"> médico-hospitalar    e</w:t>
      </w:r>
    </w:p>
    <w:p w:rsidR="00F23212" w:rsidRDefault="00F23212">
      <w:pPr>
        <w:shd w:val="clear" w:color="auto" w:fill="FFFFFF"/>
        <w:spacing w:line="482" w:lineRule="exact"/>
        <w:ind w:left="3787" w:firstLine="8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Odontológica</w:t>
      </w:r>
      <w:r>
        <w:rPr>
          <w:color w:val="000000"/>
          <w:sz w:val="22"/>
          <w:szCs w:val="22"/>
        </w:rPr>
        <w:t>;</w:t>
      </w:r>
    </w:p>
    <w:p w:rsidR="00000000" w:rsidRDefault="00F23212" w:rsidP="00F23212">
      <w:pPr>
        <w:shd w:val="clear" w:color="auto" w:fill="FFFFFF"/>
        <w:spacing w:line="482" w:lineRule="exact"/>
      </w:pPr>
      <w:r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  <w:lang w:val="en-US"/>
        </w:rPr>
        <w:t xml:space="preserve">III </w:t>
      </w:r>
      <w:r>
        <w:rPr>
          <w:color w:val="000000"/>
          <w:sz w:val="22"/>
          <w:szCs w:val="22"/>
        </w:rPr>
        <w:t>- remoção para as Comarcas do   interior do Estado;</w:t>
      </w:r>
      <w:r>
        <w:rPr>
          <w:color w:val="000000"/>
          <w:sz w:val="22"/>
          <w:szCs w:val="22"/>
        </w:rPr>
        <w:t xml:space="preserve"> e </w:t>
      </w:r>
      <w:r>
        <w:rPr>
          <w:color w:val="000000"/>
          <w:sz w:val="22"/>
          <w:szCs w:val="22"/>
          <w:lang w:val="en-US"/>
        </w:rPr>
        <w:t xml:space="preserve">IV </w:t>
      </w:r>
      <w:r>
        <w:rPr>
          <w:color w:val="000000"/>
          <w:sz w:val="22"/>
          <w:szCs w:val="22"/>
        </w:rPr>
        <w:t xml:space="preserve">- remoção do </w:t>
      </w:r>
      <w:r>
        <w:rPr>
          <w:color w:val="000000"/>
          <w:spacing w:val="15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de Rondônia para</w:t>
      </w:r>
    </w:p>
    <w:p w:rsidR="00000000" w:rsidRDefault="00F23212">
      <w:pPr>
        <w:shd w:val="clear" w:color="auto" w:fill="FFFFFF"/>
        <w:spacing w:line="482" w:lineRule="exact"/>
        <w:ind w:left="4644"/>
      </w:pPr>
      <w:r>
        <w:rPr>
          <w:color w:val="000000"/>
          <w:spacing w:val="18"/>
          <w:sz w:val="22"/>
          <w:szCs w:val="22"/>
        </w:rPr>
        <w:t>Outros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Estados</w:t>
      </w:r>
      <w:r>
        <w:rPr>
          <w:color w:val="000000"/>
          <w:sz w:val="22"/>
          <w:szCs w:val="22"/>
        </w:rPr>
        <w:t xml:space="preserve"> da Federação.</w:t>
      </w:r>
    </w:p>
    <w:p w:rsidR="00000000" w:rsidRDefault="00F23212">
      <w:pPr>
        <w:shd w:val="clear" w:color="auto" w:fill="FFFFFF"/>
        <w:spacing w:before="468" w:after="446" w:line="490" w:lineRule="exact"/>
        <w:ind w:left="14" w:right="317" w:firstLine="4046"/>
        <w:jc w:val="both"/>
      </w:pPr>
      <w:r>
        <w:rPr>
          <w:color w:val="000000"/>
          <w:sz w:val="22"/>
          <w:szCs w:val="22"/>
        </w:rPr>
        <w:t>ART. 2º</w:t>
      </w:r>
      <w:r>
        <w:rPr>
          <w:color w:val="000000"/>
          <w:sz w:val="22"/>
          <w:szCs w:val="22"/>
        </w:rPr>
        <w:t xml:space="preserve"> - </w:t>
      </w:r>
      <w:r>
        <w:rPr>
          <w:color w:val="000000"/>
          <w:spacing w:val="21"/>
          <w:sz w:val="22"/>
          <w:szCs w:val="22"/>
        </w:rPr>
        <w:t>Este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>Decreto</w:t>
      </w:r>
      <w:r>
        <w:rPr>
          <w:color w:val="000000"/>
          <w:sz w:val="22"/>
          <w:szCs w:val="22"/>
        </w:rPr>
        <w:t xml:space="preserve"> entrará em vi</w:t>
      </w:r>
      <w:r>
        <w:rPr>
          <w:color w:val="000000"/>
          <w:sz w:val="22"/>
          <w:szCs w:val="22"/>
        </w:rPr>
        <w:t xml:space="preserve">gor na data de sua </w:t>
      </w:r>
      <w:r>
        <w:rPr>
          <w:color w:val="000000"/>
          <w:spacing w:val="19"/>
          <w:sz w:val="22"/>
          <w:szCs w:val="22"/>
        </w:rPr>
        <w:t>publicação.</w:t>
      </w:r>
    </w:p>
    <w:p w:rsidR="00000000" w:rsidRDefault="00F23212">
      <w:pPr>
        <w:shd w:val="clear" w:color="auto" w:fill="FFFFFF"/>
        <w:spacing w:before="468" w:after="446" w:line="490" w:lineRule="exact"/>
        <w:ind w:left="14" w:right="317" w:firstLine="4046"/>
        <w:jc w:val="both"/>
        <w:sectPr w:rsidR="00000000">
          <w:type w:val="continuous"/>
          <w:pgSz w:w="11909" w:h="16834"/>
          <w:pgMar w:top="1155" w:right="482" w:bottom="360" w:left="1577" w:header="720" w:footer="720" w:gutter="0"/>
          <w:cols w:space="60"/>
          <w:noEndnote/>
        </w:sectPr>
      </w:pPr>
    </w:p>
    <w:p w:rsidR="00000000" w:rsidRDefault="00F23212">
      <w:pPr>
        <w:framePr w:h="1029" w:hSpace="10080" w:wrap="notBeside" w:vAnchor="text" w:hAnchor="margin" w:x="6222" w:y="1"/>
        <w:rPr>
          <w:rFonts w:ascii="Arial" w:hAnsi="Arial" w:cs="Arial"/>
          <w:sz w:val="24"/>
          <w:szCs w:val="24"/>
        </w:rPr>
      </w:pPr>
    </w:p>
    <w:p w:rsidR="00000000" w:rsidRDefault="00F23212" w:rsidP="00F23212">
      <w:pPr>
        <w:framePr w:h="280" w:hRule="exact" w:hSpace="10080" w:wrap="notBeside" w:vAnchor="text" w:hAnchor="page" w:x="3901" w:y="503"/>
        <w:shd w:val="clear" w:color="auto" w:fill="FFFFFF"/>
      </w:pPr>
      <w:r>
        <w:rPr>
          <w:color w:val="000000"/>
          <w:spacing w:val="8"/>
          <w:sz w:val="22"/>
          <w:szCs w:val="22"/>
        </w:rPr>
        <w:t>Porto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Velho,</w:t>
      </w:r>
      <w:r>
        <w:rPr>
          <w:color w:val="000000"/>
          <w:spacing w:val="-6"/>
          <w:sz w:val="22"/>
          <w:szCs w:val="22"/>
        </w:rPr>
        <w:t xml:space="preserve"> 08 </w:t>
      </w:r>
      <w:r>
        <w:rPr>
          <w:rFonts w:ascii="Times New Roman" w:hAnsi="Times New Roman" w:cs="Times New Roman"/>
          <w:i/>
          <w:iCs/>
          <w:color w:val="000000"/>
          <w:spacing w:val="-6"/>
          <w:sz w:val="22"/>
          <w:szCs w:val="22"/>
        </w:rPr>
        <w:t xml:space="preserve">  DE Fevereiro</w:t>
      </w:r>
      <w:r>
        <w:rPr>
          <w:color w:val="000000"/>
          <w:spacing w:val="-6"/>
          <w:sz w:val="22"/>
          <w:szCs w:val="22"/>
        </w:rPr>
        <w:t xml:space="preserve"> de 1983</w:t>
      </w:r>
    </w:p>
    <w:p w:rsidR="00000000" w:rsidRDefault="00F23212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F23212">
      <w:pPr>
        <w:framePr w:h="280" w:hRule="exact" w:hSpace="10080" w:wrap="notBeside" w:vAnchor="text" w:hAnchor="margin" w:x="4069" w:y="210"/>
        <w:shd w:val="clear" w:color="auto" w:fill="FFFFFF"/>
        <w:sectPr w:rsidR="00000000">
          <w:type w:val="continuous"/>
          <w:pgSz w:w="11909" w:h="16834"/>
          <w:pgMar w:top="1155" w:right="482" w:bottom="360" w:left="1577" w:header="720" w:footer="720" w:gutter="0"/>
          <w:cols w:space="720"/>
          <w:noEndnote/>
        </w:sectPr>
      </w:pPr>
    </w:p>
    <w:p w:rsidR="00F23212" w:rsidRDefault="00F23212">
      <w:pPr>
        <w:shd w:val="clear" w:color="auto" w:fill="FFFFFF"/>
        <w:spacing w:before="158" w:line="230" w:lineRule="exact"/>
        <w:ind w:left="5530" w:right="749" w:hanging="446"/>
      </w:pPr>
      <w:r>
        <w:rPr>
          <w:color w:val="000000"/>
          <w:sz w:val="22"/>
          <w:szCs w:val="22"/>
        </w:rPr>
        <w:t xml:space="preserve">JORGE </w:t>
      </w:r>
      <w:r>
        <w:rPr>
          <w:smallCaps/>
          <w:color w:val="000000"/>
          <w:sz w:val="22"/>
          <w:szCs w:val="22"/>
        </w:rPr>
        <w:t>Teixeira</w:t>
      </w:r>
      <w:r>
        <w:rPr>
          <w:smallCap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 OLIVEIR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Governador</w:t>
      </w:r>
      <w:r>
        <w:rPr>
          <w:color w:val="000000"/>
          <w:spacing w:val="-1"/>
          <w:sz w:val="22"/>
          <w:szCs w:val="22"/>
        </w:rPr>
        <w:t xml:space="preserve"> do </w:t>
      </w:r>
      <w:r>
        <w:rPr>
          <w:color w:val="000000"/>
          <w:spacing w:val="16"/>
          <w:sz w:val="22"/>
          <w:szCs w:val="22"/>
        </w:rPr>
        <w:t xml:space="preserve">Estado </w:t>
      </w:r>
      <w:r>
        <w:rPr>
          <w:color w:val="000000"/>
          <w:sz w:val="22"/>
          <w:szCs w:val="22"/>
        </w:rPr>
        <w:t>de Rondônia.</w:t>
      </w:r>
    </w:p>
    <w:sectPr w:rsidR="00F23212">
      <w:type w:val="continuous"/>
      <w:pgSz w:w="11909" w:h="16834"/>
      <w:pgMar w:top="1155" w:right="482" w:bottom="360" w:left="15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12"/>
    <w:rsid w:val="00F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9E8015-1A10-46F3-9D1F-92CD9399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2016-02-19T15:29:00Z</dcterms:created>
  <dcterms:modified xsi:type="dcterms:W3CDTF">2016-02-19T15:35:00Z</dcterms:modified>
</cp:coreProperties>
</file>