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0C4" w:rsidRPr="00E630C4" w:rsidRDefault="00EE4BE0" w:rsidP="00BA3A87">
      <w:pPr>
        <w:pStyle w:val="SemEspaamento"/>
        <w:jc w:val="center"/>
        <w:rPr>
          <w:rFonts w:ascii="Times New Roman" w:hAnsi="Times New Roman" w:cs="Times New Roman"/>
          <w:sz w:val="24"/>
          <w:szCs w:val="24"/>
          <w:lang w:eastAsia="pt-BR"/>
        </w:rPr>
      </w:pPr>
      <w:r>
        <w:rPr>
          <w:rFonts w:ascii="Times New Roman" w:hAnsi="Times New Roman" w:cs="Times New Roman"/>
          <w:sz w:val="24"/>
          <w:szCs w:val="24"/>
          <w:lang w:eastAsia="pt-BR"/>
        </w:rPr>
        <w:t>DECRETO N.</w:t>
      </w:r>
      <w:r w:rsidR="00F232CB">
        <w:rPr>
          <w:rFonts w:ascii="Times New Roman" w:hAnsi="Times New Roman" w:cs="Times New Roman"/>
          <w:sz w:val="24"/>
          <w:szCs w:val="24"/>
          <w:lang w:eastAsia="pt-BR"/>
        </w:rPr>
        <w:t xml:space="preserve"> 23.928</w:t>
      </w:r>
      <w:r>
        <w:rPr>
          <w:rFonts w:ascii="Times New Roman" w:hAnsi="Times New Roman" w:cs="Times New Roman"/>
          <w:sz w:val="24"/>
          <w:szCs w:val="24"/>
          <w:lang w:eastAsia="pt-BR"/>
        </w:rPr>
        <w:t>, DE</w:t>
      </w:r>
      <w:r w:rsidR="00F232CB">
        <w:rPr>
          <w:rFonts w:ascii="Times New Roman" w:hAnsi="Times New Roman" w:cs="Times New Roman"/>
          <w:sz w:val="24"/>
          <w:szCs w:val="24"/>
          <w:lang w:eastAsia="pt-BR"/>
        </w:rPr>
        <w:t xml:space="preserve"> 29 </w:t>
      </w:r>
      <w:r>
        <w:rPr>
          <w:rFonts w:ascii="Times New Roman" w:hAnsi="Times New Roman" w:cs="Times New Roman"/>
          <w:sz w:val="24"/>
          <w:szCs w:val="24"/>
          <w:lang w:eastAsia="pt-BR"/>
        </w:rPr>
        <w:t xml:space="preserve">DE </w:t>
      </w:r>
      <w:r w:rsidR="00E630C4">
        <w:rPr>
          <w:rFonts w:ascii="Times New Roman" w:hAnsi="Times New Roman" w:cs="Times New Roman"/>
          <w:sz w:val="24"/>
          <w:szCs w:val="24"/>
          <w:lang w:eastAsia="pt-BR"/>
        </w:rPr>
        <w:t>MAIO</w:t>
      </w:r>
      <w:r w:rsidR="00E630C4" w:rsidRPr="00E630C4">
        <w:rPr>
          <w:rFonts w:ascii="Times New Roman" w:hAnsi="Times New Roman" w:cs="Times New Roman"/>
          <w:sz w:val="24"/>
          <w:szCs w:val="24"/>
          <w:lang w:eastAsia="pt-BR"/>
        </w:rPr>
        <w:t xml:space="preserve"> DE 2019.</w:t>
      </w:r>
    </w:p>
    <w:p w:rsidR="00E630C4" w:rsidRPr="00BA3A87" w:rsidRDefault="00E630C4" w:rsidP="00BA3A87">
      <w:pPr>
        <w:pStyle w:val="SemEspaamento"/>
        <w:jc w:val="center"/>
        <w:rPr>
          <w:rFonts w:ascii="Times New Roman" w:hAnsi="Times New Roman" w:cs="Times New Roman"/>
          <w:i/>
          <w:lang w:eastAsia="pt-BR"/>
        </w:rPr>
      </w:pPr>
    </w:p>
    <w:p w:rsidR="00FA593A" w:rsidRPr="00FA593A" w:rsidRDefault="00FA593A" w:rsidP="00FA593A">
      <w:pPr>
        <w:pStyle w:val="SemEspaamento"/>
        <w:ind w:left="5103"/>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Incorpora ao Regulamento do Imposto sobre Operações Relativas à Circulação de Mercadorias e sobre Prestações de Serviços de Transporte Interestadual e Intermunicipal e de Comunicação - RICMS/RO</w:t>
      </w:r>
      <w:r w:rsidR="00AB7DC6">
        <w:rPr>
          <w:rFonts w:ascii="Times New Roman" w:hAnsi="Times New Roman" w:cs="Times New Roman"/>
          <w:sz w:val="24"/>
          <w:szCs w:val="24"/>
          <w:lang w:eastAsia="pt-BR"/>
        </w:rPr>
        <w:t>, aprovado pelo Decreto nº</w:t>
      </w:r>
      <w:r w:rsidR="00AB7DC6" w:rsidRPr="00FA593A">
        <w:rPr>
          <w:rFonts w:ascii="Times New Roman" w:hAnsi="Times New Roman" w:cs="Times New Roman"/>
          <w:sz w:val="24"/>
          <w:szCs w:val="24"/>
          <w:lang w:eastAsia="pt-BR"/>
        </w:rPr>
        <w:t xml:space="preserve"> 22.721, de 5 de abril de 2018</w:t>
      </w:r>
      <w:r w:rsidR="00AB7D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 xml:space="preserve"> </w:t>
      </w:r>
      <w:r w:rsidR="00C32DCB">
        <w:rPr>
          <w:rFonts w:ascii="Times New Roman" w:hAnsi="Times New Roman" w:cs="Times New Roman"/>
          <w:sz w:val="24"/>
          <w:szCs w:val="24"/>
          <w:lang w:eastAsia="pt-BR"/>
        </w:rPr>
        <w:t>as alterações oriundas da 172ª</w:t>
      </w:r>
      <w:r w:rsidRPr="00FA593A">
        <w:rPr>
          <w:rFonts w:ascii="Times New Roman" w:hAnsi="Times New Roman" w:cs="Times New Roman"/>
          <w:sz w:val="24"/>
          <w:szCs w:val="24"/>
          <w:lang w:eastAsia="pt-BR"/>
        </w:rPr>
        <w:t xml:space="preserve"> reunião ordinária do Conselho Na</w:t>
      </w:r>
      <w:r w:rsidR="00C32DCB">
        <w:rPr>
          <w:rFonts w:ascii="Times New Roman" w:hAnsi="Times New Roman" w:cs="Times New Roman"/>
          <w:sz w:val="24"/>
          <w:szCs w:val="24"/>
          <w:lang w:eastAsia="pt-BR"/>
        </w:rPr>
        <w:t>cional de Política Fazendária - CONFAZ.</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O GOVERNADOR DO ESTADO DE RONDÔNIA, no uso das atribuições que lh</w:t>
      </w:r>
      <w:r w:rsidR="00C32DCB">
        <w:rPr>
          <w:rFonts w:ascii="Times New Roman" w:hAnsi="Times New Roman" w:cs="Times New Roman"/>
          <w:sz w:val="24"/>
          <w:szCs w:val="24"/>
          <w:lang w:eastAsia="pt-BR"/>
        </w:rPr>
        <w:t>e confere o artigo 65, inciso V</w:t>
      </w:r>
      <w:r w:rsidRPr="00FA593A">
        <w:rPr>
          <w:rFonts w:ascii="Times New Roman" w:hAnsi="Times New Roman" w:cs="Times New Roman"/>
          <w:sz w:val="24"/>
          <w:szCs w:val="24"/>
          <w:lang w:eastAsia="pt-BR"/>
        </w:rPr>
        <w:t xml:space="preserve"> da Constituição </w:t>
      </w:r>
      <w:r w:rsidR="00C32DCB">
        <w:rPr>
          <w:rFonts w:ascii="Times New Roman" w:hAnsi="Times New Roman" w:cs="Times New Roman"/>
          <w:sz w:val="24"/>
          <w:szCs w:val="24"/>
          <w:lang w:eastAsia="pt-BR"/>
        </w:rPr>
        <w:t>do Estado</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u w:val="single"/>
          <w:lang w:eastAsia="pt-BR"/>
        </w:rPr>
        <w:t>D</w:t>
      </w:r>
      <w:r w:rsidR="001210DD">
        <w:rPr>
          <w:rFonts w:ascii="Times New Roman" w:hAnsi="Times New Roman" w:cs="Times New Roman"/>
          <w:sz w:val="24"/>
          <w:szCs w:val="24"/>
          <w:lang w:eastAsia="pt-BR"/>
        </w:rPr>
        <w:t xml:space="preserve"> </w:t>
      </w:r>
      <w:r w:rsidRPr="00FA593A">
        <w:rPr>
          <w:rFonts w:ascii="Times New Roman" w:hAnsi="Times New Roman" w:cs="Times New Roman"/>
          <w:sz w:val="24"/>
          <w:szCs w:val="24"/>
          <w:u w:val="single"/>
          <w:lang w:eastAsia="pt-BR"/>
        </w:rPr>
        <w:t>E</w:t>
      </w:r>
      <w:r w:rsidR="001210DD">
        <w:rPr>
          <w:rFonts w:ascii="Times New Roman" w:hAnsi="Times New Roman" w:cs="Times New Roman"/>
          <w:sz w:val="24"/>
          <w:szCs w:val="24"/>
          <w:lang w:eastAsia="pt-BR"/>
        </w:rPr>
        <w:t xml:space="preserve"> </w:t>
      </w:r>
      <w:r w:rsidRPr="00FA593A">
        <w:rPr>
          <w:rFonts w:ascii="Times New Roman" w:hAnsi="Times New Roman" w:cs="Times New Roman"/>
          <w:sz w:val="24"/>
          <w:szCs w:val="24"/>
          <w:u w:val="single"/>
          <w:lang w:eastAsia="pt-BR"/>
        </w:rPr>
        <w:t>C</w:t>
      </w:r>
      <w:r w:rsidR="001210DD">
        <w:rPr>
          <w:rFonts w:ascii="Times New Roman" w:hAnsi="Times New Roman" w:cs="Times New Roman"/>
          <w:sz w:val="24"/>
          <w:szCs w:val="24"/>
          <w:u w:val="single"/>
          <w:lang w:eastAsia="pt-BR"/>
        </w:rPr>
        <w:t xml:space="preserve"> </w:t>
      </w:r>
      <w:r w:rsidRPr="00FA593A">
        <w:rPr>
          <w:rFonts w:ascii="Times New Roman" w:hAnsi="Times New Roman" w:cs="Times New Roman"/>
          <w:sz w:val="24"/>
          <w:szCs w:val="24"/>
          <w:u w:val="single"/>
          <w:lang w:eastAsia="pt-BR"/>
        </w:rPr>
        <w:t>R</w:t>
      </w:r>
      <w:r w:rsidR="001210DD">
        <w:rPr>
          <w:rFonts w:ascii="Times New Roman" w:hAnsi="Times New Roman" w:cs="Times New Roman"/>
          <w:sz w:val="24"/>
          <w:szCs w:val="24"/>
          <w:lang w:eastAsia="pt-BR"/>
        </w:rPr>
        <w:t xml:space="preserve"> </w:t>
      </w:r>
      <w:r w:rsidRPr="00FA593A">
        <w:rPr>
          <w:rFonts w:ascii="Times New Roman" w:hAnsi="Times New Roman" w:cs="Times New Roman"/>
          <w:sz w:val="24"/>
          <w:szCs w:val="24"/>
          <w:u w:val="single"/>
          <w:lang w:eastAsia="pt-BR"/>
        </w:rPr>
        <w:t>E</w:t>
      </w:r>
      <w:r w:rsidR="001210DD">
        <w:rPr>
          <w:rFonts w:ascii="Times New Roman" w:hAnsi="Times New Roman" w:cs="Times New Roman"/>
          <w:sz w:val="24"/>
          <w:szCs w:val="24"/>
          <w:lang w:eastAsia="pt-BR"/>
        </w:rPr>
        <w:t xml:space="preserve"> </w:t>
      </w:r>
      <w:r w:rsidRPr="00FA593A">
        <w:rPr>
          <w:rFonts w:ascii="Times New Roman" w:hAnsi="Times New Roman" w:cs="Times New Roman"/>
          <w:sz w:val="24"/>
          <w:szCs w:val="24"/>
          <w:u w:val="single"/>
          <w:lang w:eastAsia="pt-BR"/>
        </w:rPr>
        <w:t>T</w:t>
      </w:r>
      <w:r w:rsidR="001210DD">
        <w:rPr>
          <w:rFonts w:ascii="Times New Roman" w:hAnsi="Times New Roman" w:cs="Times New Roman"/>
          <w:sz w:val="24"/>
          <w:szCs w:val="24"/>
          <w:lang w:eastAsia="pt-BR"/>
        </w:rPr>
        <w:t xml:space="preserve"> </w:t>
      </w:r>
      <w:r w:rsidRPr="00FA593A">
        <w:rPr>
          <w:rFonts w:ascii="Times New Roman" w:hAnsi="Times New Roman" w:cs="Times New Roman"/>
          <w:sz w:val="24"/>
          <w:szCs w:val="24"/>
          <w:u w:val="single"/>
          <w:lang w:eastAsia="pt-BR"/>
        </w:rPr>
        <w:t>A</w:t>
      </w:r>
      <w:r w:rsidR="00C32DCB" w:rsidRPr="00C32DCB">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Art. 1º. </w:t>
      </w:r>
      <w:r w:rsidR="00C32DCB">
        <w:rPr>
          <w:rFonts w:ascii="Times New Roman" w:hAnsi="Times New Roman" w:cs="Times New Roman"/>
          <w:sz w:val="24"/>
          <w:szCs w:val="24"/>
          <w:lang w:eastAsia="pt-BR"/>
        </w:rPr>
        <w:t>O</w:t>
      </w:r>
      <w:r w:rsidR="00C32DCB" w:rsidRPr="00CF2422">
        <w:rPr>
          <w:rFonts w:ascii="Times New Roman" w:hAnsi="Times New Roman" w:cs="Times New Roman"/>
          <w:sz w:val="24"/>
          <w:szCs w:val="24"/>
          <w:lang w:eastAsia="pt-BR"/>
        </w:rPr>
        <w:t>s dispositivos a</w:t>
      </w:r>
      <w:r w:rsidR="00D93629">
        <w:rPr>
          <w:rFonts w:ascii="Times New Roman" w:hAnsi="Times New Roman" w:cs="Times New Roman"/>
          <w:sz w:val="24"/>
          <w:szCs w:val="24"/>
          <w:lang w:eastAsia="pt-BR"/>
        </w:rPr>
        <w:t>baixo</w:t>
      </w:r>
      <w:r w:rsidR="00C32DCB" w:rsidRPr="00CF2422">
        <w:rPr>
          <w:rFonts w:ascii="Times New Roman" w:hAnsi="Times New Roman" w:cs="Times New Roman"/>
          <w:sz w:val="24"/>
          <w:szCs w:val="24"/>
          <w:lang w:eastAsia="pt-BR"/>
        </w:rPr>
        <w:t xml:space="preserve"> relacionados do </w:t>
      </w:r>
      <w:r w:rsidR="00AB7DC6" w:rsidRPr="00FA593A">
        <w:rPr>
          <w:rFonts w:ascii="Times New Roman" w:hAnsi="Times New Roman" w:cs="Times New Roman"/>
          <w:sz w:val="24"/>
          <w:szCs w:val="24"/>
          <w:lang w:eastAsia="pt-BR"/>
        </w:rPr>
        <w:t>Regulamento do Imposto sobre Operações Relativas à Circulação de Mercadorias e sobre Prestações de Serviços de Transporte Interestadual e Intermunicip</w:t>
      </w:r>
      <w:r w:rsidR="00EE4BE0">
        <w:rPr>
          <w:rFonts w:ascii="Times New Roman" w:hAnsi="Times New Roman" w:cs="Times New Roman"/>
          <w:sz w:val="24"/>
          <w:szCs w:val="24"/>
          <w:lang w:eastAsia="pt-BR"/>
        </w:rPr>
        <w:t xml:space="preserve">al e de Comunicação - RICMS/RO, </w:t>
      </w:r>
      <w:r w:rsidR="00AB7DC6" w:rsidRPr="00FA593A">
        <w:rPr>
          <w:rFonts w:ascii="Times New Roman" w:hAnsi="Times New Roman" w:cs="Times New Roman"/>
          <w:sz w:val="24"/>
          <w:szCs w:val="24"/>
          <w:lang w:eastAsia="pt-BR"/>
        </w:rPr>
        <w:t>aprovado pelo Decreto n</w:t>
      </w:r>
      <w:r w:rsidR="00AB7DC6">
        <w:rPr>
          <w:rFonts w:ascii="Times New Roman" w:hAnsi="Times New Roman" w:cs="Times New Roman"/>
          <w:sz w:val="24"/>
          <w:szCs w:val="24"/>
          <w:lang w:eastAsia="pt-BR"/>
        </w:rPr>
        <w:t>º</w:t>
      </w:r>
      <w:r w:rsidR="00AB7DC6" w:rsidRPr="00FA593A">
        <w:rPr>
          <w:rFonts w:ascii="Times New Roman" w:hAnsi="Times New Roman" w:cs="Times New Roman"/>
          <w:sz w:val="24"/>
          <w:szCs w:val="24"/>
          <w:lang w:eastAsia="pt-BR"/>
        </w:rPr>
        <w:t xml:space="preserve"> 22.721, de 5 de abril de 2018</w:t>
      </w:r>
      <w:r w:rsidR="00AB7DC6">
        <w:rPr>
          <w:rFonts w:ascii="Times New Roman" w:hAnsi="Times New Roman" w:cs="Times New Roman"/>
          <w:sz w:val="24"/>
          <w:szCs w:val="24"/>
          <w:lang w:eastAsia="pt-BR"/>
        </w:rPr>
        <w:t xml:space="preserve">, </w:t>
      </w:r>
      <w:r w:rsidR="00F03A58">
        <w:rPr>
          <w:rFonts w:ascii="Times New Roman" w:hAnsi="Times New Roman" w:cs="Times New Roman"/>
          <w:sz w:val="24"/>
          <w:szCs w:val="24"/>
          <w:lang w:eastAsia="pt-BR"/>
        </w:rPr>
        <w:t>passam a vigorar conforme segue</w:t>
      </w:r>
      <w:r w:rsidR="00AB7DC6">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 - o inc</w:t>
      </w:r>
      <w:r w:rsidR="00F03A58">
        <w:rPr>
          <w:rFonts w:ascii="Times New Roman" w:hAnsi="Times New Roman" w:cs="Times New Roman"/>
          <w:sz w:val="24"/>
          <w:szCs w:val="24"/>
          <w:lang w:eastAsia="pt-BR"/>
        </w:rPr>
        <w:t>iso II do artigo 361 do Anexo X</w:t>
      </w:r>
      <w:r w:rsidRPr="00FA593A">
        <w:rPr>
          <w:rFonts w:ascii="Times New Roman" w:hAnsi="Times New Roman" w:cs="Times New Roman"/>
          <w:sz w:val="24"/>
          <w:szCs w:val="24"/>
          <w:lang w:eastAsia="pt-BR"/>
        </w:rPr>
        <w:t xml:space="preserve"> </w:t>
      </w:r>
      <w:r w:rsidR="00F03A58">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Convênio ICMS 20/19, ef</w:t>
      </w:r>
      <w:r w:rsidR="00EE4BE0">
        <w:rPr>
          <w:rFonts w:ascii="Times New Roman" w:hAnsi="Times New Roman" w:cs="Times New Roman"/>
          <w:sz w:val="24"/>
          <w:szCs w:val="24"/>
          <w:lang w:eastAsia="pt-BR"/>
        </w:rPr>
        <w:t xml:space="preserve">eitos a partir de </w:t>
      </w:r>
      <w:r w:rsidRPr="00FA593A">
        <w:rPr>
          <w:rFonts w:ascii="Times New Roman" w:hAnsi="Times New Roman" w:cs="Times New Roman"/>
          <w:sz w:val="24"/>
          <w:szCs w:val="24"/>
          <w:lang w:eastAsia="pt-BR"/>
        </w:rPr>
        <w:t>1</w:t>
      </w:r>
      <w:r w:rsidR="00F03A58">
        <w:rPr>
          <w:rFonts w:ascii="Times New Roman" w:hAnsi="Times New Roman" w:cs="Times New Roman"/>
          <w:sz w:val="24"/>
          <w:szCs w:val="24"/>
          <w:lang w:eastAsia="pt-BR"/>
        </w:rPr>
        <w:t>º de maio de 2019: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361</w:t>
      </w:r>
      <w:r w:rsidR="00EE4BE0">
        <w:rPr>
          <w:rFonts w:ascii="Times New Roman" w:hAnsi="Times New Roman" w:cs="Times New Roman"/>
          <w:sz w:val="24"/>
          <w:szCs w:val="24"/>
          <w:lang w:eastAsia="pt-BR"/>
        </w:rPr>
        <w:t>. .</w:t>
      </w:r>
      <w:r w:rsidR="00AB7D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r w:rsidR="00AB7DC6">
        <w:rPr>
          <w:rFonts w:ascii="Times New Roman" w:hAnsi="Times New Roman" w:cs="Times New Roman"/>
          <w:sz w:val="24"/>
          <w:szCs w:val="24"/>
          <w:lang w:eastAsia="pt-BR"/>
        </w:rPr>
        <w:t>............................</w:t>
      </w:r>
      <w:r>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sidR="00AB7D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 - PMPF: preço médio ponderado a consumidor final do combustível considerado, com ICMS incluso, praticado no Estado de Rondônia, apurado nos termos da Seção II do Capítulo IV da Parte I do Anexo VI deste Regulamento, combinado com o disposto no artigo 365-A deste Anexo;</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sidR="00AB7D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r w:rsidR="00AB7DC6">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 - o inci</w:t>
      </w:r>
      <w:r w:rsidR="00F03A58">
        <w:rPr>
          <w:rFonts w:ascii="Times New Roman" w:hAnsi="Times New Roman" w:cs="Times New Roman"/>
          <w:sz w:val="24"/>
          <w:szCs w:val="24"/>
          <w:lang w:eastAsia="pt-BR"/>
        </w:rPr>
        <w:t xml:space="preserve">so II do artigo 364 do Anexo X - </w:t>
      </w:r>
      <w:r w:rsidRPr="00FA593A">
        <w:rPr>
          <w:rFonts w:ascii="Times New Roman" w:hAnsi="Times New Roman" w:cs="Times New Roman"/>
          <w:sz w:val="24"/>
          <w:szCs w:val="24"/>
          <w:lang w:eastAsia="pt-BR"/>
        </w:rPr>
        <w:t>Convênio I</w:t>
      </w:r>
      <w:r w:rsidR="00EE4BE0">
        <w:rPr>
          <w:rFonts w:ascii="Times New Roman" w:hAnsi="Times New Roman" w:cs="Times New Roman"/>
          <w:sz w:val="24"/>
          <w:szCs w:val="24"/>
          <w:lang w:eastAsia="pt-BR"/>
        </w:rPr>
        <w:t xml:space="preserve">CMS 20/19, efeitos a partir de </w:t>
      </w:r>
      <w:r w:rsidRPr="00FA593A">
        <w:rPr>
          <w:rFonts w:ascii="Times New Roman" w:hAnsi="Times New Roman" w:cs="Times New Roman"/>
          <w:sz w:val="24"/>
          <w:szCs w:val="24"/>
          <w:lang w:eastAsia="pt-BR"/>
        </w:rPr>
        <w:t>1</w:t>
      </w:r>
      <w:r w:rsidR="00EE4BE0">
        <w:rPr>
          <w:rFonts w:ascii="Times New Roman" w:hAnsi="Times New Roman" w:cs="Times New Roman"/>
          <w:sz w:val="24"/>
          <w:szCs w:val="24"/>
          <w:lang w:eastAsia="pt-BR"/>
        </w:rPr>
        <w:t>º de maio de 2019</w:t>
      </w:r>
      <w:r w:rsidR="00F03A58">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364................................................................</w:t>
      </w:r>
      <w:r w:rsidR="00AB7D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sidR="00AB7D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C35C11">
      <w:pPr>
        <w:pStyle w:val="SemEspaamento"/>
        <w:ind w:right="-1"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II - o preço </w:t>
      </w:r>
      <w:proofErr w:type="spellStart"/>
      <w:r w:rsidR="00AB7DC6">
        <w:rPr>
          <w:rFonts w:ascii="Times New Roman" w:hAnsi="Times New Roman" w:cs="Times New Roman"/>
          <w:sz w:val="24"/>
          <w:szCs w:val="24"/>
          <w:lang w:eastAsia="pt-BR"/>
        </w:rPr>
        <w:t>a</w:t>
      </w:r>
      <w:proofErr w:type="spellEnd"/>
      <w:r w:rsidRPr="00FA593A">
        <w:rPr>
          <w:rFonts w:ascii="Times New Roman" w:hAnsi="Times New Roman" w:cs="Times New Roman"/>
          <w:sz w:val="24"/>
          <w:szCs w:val="24"/>
          <w:lang w:eastAsia="pt-BR"/>
        </w:rPr>
        <w:t xml:space="preserve"> consumidor final usualmente praticado no mercado considerado, relativamente à mercadoria ou sua similar, em condições de livre concorrência, adotando-se para sua apuração as regras estabelecidas no artigo 36 do Anexo VI deste Regulamento, combinado com o disposto no artigo 365-A deste </w:t>
      </w:r>
      <w:r w:rsidR="00AB7DC6" w:rsidRPr="00FA593A">
        <w:rPr>
          <w:rFonts w:ascii="Times New Roman" w:hAnsi="Times New Roman" w:cs="Times New Roman"/>
          <w:sz w:val="24"/>
          <w:szCs w:val="24"/>
          <w:lang w:eastAsia="pt-BR"/>
        </w:rPr>
        <w:t>Anexo</w:t>
      </w:r>
      <w:proofErr w:type="gramStart"/>
      <w:r w:rsidR="00AB7DC6" w:rsidRPr="00FA593A">
        <w:rPr>
          <w:rFonts w:ascii="Times New Roman" w:hAnsi="Times New Roman" w:cs="Times New Roman"/>
          <w:sz w:val="24"/>
          <w:szCs w:val="24"/>
          <w:lang w:eastAsia="pt-BR"/>
        </w:rPr>
        <w:t>. ”</w:t>
      </w:r>
      <w:proofErr w:type="gramEnd"/>
      <w:r w:rsidR="00AB7DC6">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lastRenderedPageBreak/>
        <w:t xml:space="preserve">III - os itens 5.0 e </w:t>
      </w:r>
      <w:r w:rsidR="00F03A58">
        <w:rPr>
          <w:rFonts w:ascii="Times New Roman" w:hAnsi="Times New Roman" w:cs="Times New Roman"/>
          <w:sz w:val="24"/>
          <w:szCs w:val="24"/>
          <w:lang w:eastAsia="pt-BR"/>
        </w:rPr>
        <w:t xml:space="preserve">5.1 da Tabela XIV do Anexo VI - </w:t>
      </w:r>
      <w:r w:rsidRPr="00FA593A">
        <w:rPr>
          <w:rFonts w:ascii="Times New Roman" w:hAnsi="Times New Roman" w:cs="Times New Roman"/>
          <w:sz w:val="24"/>
          <w:szCs w:val="24"/>
          <w:lang w:eastAsia="pt-BR"/>
        </w:rPr>
        <w:t>Convênio I</w:t>
      </w:r>
      <w:r w:rsidR="00EE4BE0">
        <w:rPr>
          <w:rFonts w:ascii="Times New Roman" w:hAnsi="Times New Roman" w:cs="Times New Roman"/>
          <w:sz w:val="24"/>
          <w:szCs w:val="24"/>
          <w:lang w:eastAsia="pt-BR"/>
        </w:rPr>
        <w:t xml:space="preserve">CMS 38/19, efeitos a partir de </w:t>
      </w:r>
      <w:r w:rsidRPr="00FA593A">
        <w:rPr>
          <w:rFonts w:ascii="Times New Roman" w:hAnsi="Times New Roman" w:cs="Times New Roman"/>
          <w:sz w:val="24"/>
          <w:szCs w:val="24"/>
          <w:lang w:eastAsia="pt-BR"/>
        </w:rPr>
        <w:t>1</w:t>
      </w:r>
      <w:r w:rsidR="00EE4BE0">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C35C11" w:rsidRDefault="00C35C11" w:rsidP="00FA593A">
      <w:pPr>
        <w:pStyle w:val="SemEspaamento"/>
        <w:ind w:firstLine="567"/>
        <w:jc w:val="both"/>
        <w:rPr>
          <w:rFonts w:ascii="Times New Roman" w:hAnsi="Times New Roman" w:cs="Times New Roman"/>
          <w:sz w:val="24"/>
          <w:szCs w:val="24"/>
          <w:lang w:eastAsia="pt-BR"/>
        </w:rPr>
      </w:pPr>
    </w:p>
    <w:p w:rsidR="00FA593A" w:rsidRPr="00FA593A" w:rsidRDefault="00FA593A" w:rsidP="007330F1">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p>
    <w:tbl>
      <w:tblPr>
        <w:tblW w:w="9639" w:type="dxa"/>
        <w:tblCellSpacing w:w="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18"/>
        <w:gridCol w:w="2276"/>
        <w:gridCol w:w="992"/>
        <w:gridCol w:w="1134"/>
        <w:gridCol w:w="1134"/>
        <w:gridCol w:w="1276"/>
        <w:gridCol w:w="1134"/>
        <w:gridCol w:w="1275"/>
      </w:tblGrid>
      <w:tr w:rsidR="007330F1" w:rsidRPr="00FA593A" w:rsidTr="00A975FB">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5.0</w:t>
            </w:r>
          </w:p>
        </w:tc>
        <w:tc>
          <w:tcPr>
            <w:tcW w:w="2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Preparações químicas</w:t>
            </w:r>
            <w:r w:rsidR="00C35C11">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contraceptivas de referência, à base de hormônios, de outros produtos da posição 29.37 ou de espermicidas - positiva.</w:t>
            </w:r>
          </w:p>
        </w:tc>
        <w:tc>
          <w:tcPr>
            <w:tcW w:w="992"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13.005.00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3006.60.00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left="269"/>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38,24%</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firstLine="268"/>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60,86%</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firstLine="127"/>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55,83%</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7330F1">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47,46%</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r>
      <w:tr w:rsidR="007330F1" w:rsidRPr="00FA593A" w:rsidTr="00A975FB">
        <w:trPr>
          <w:tblCellSpacing w:w="0" w:type="dxa"/>
        </w:trPr>
        <w:tc>
          <w:tcPr>
            <w:tcW w:w="4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5.1</w:t>
            </w:r>
          </w:p>
        </w:tc>
        <w:tc>
          <w:tcPr>
            <w:tcW w:w="2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Preparações químicas contraceptivas de referência, à base de hormônios, de outros produtos da posição 29.37 ou de espermicidas - negativa.</w:t>
            </w:r>
          </w:p>
        </w:tc>
        <w:tc>
          <w:tcPr>
            <w:tcW w:w="992"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13.005.01</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3006.60.00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firstLine="269"/>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33,05%</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left="410" w:hanging="284"/>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54,82%</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C35C11">
            <w:pPr>
              <w:pStyle w:val="SemEspaamento"/>
              <w:ind w:firstLine="127"/>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49,98%</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7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7330F1">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41,92%</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7330F1">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IV - o item 83</w:t>
      </w:r>
      <w:r w:rsidR="00F03A58">
        <w:rPr>
          <w:rFonts w:ascii="Times New Roman" w:hAnsi="Times New Roman" w:cs="Times New Roman"/>
          <w:sz w:val="24"/>
          <w:szCs w:val="24"/>
          <w:lang w:eastAsia="pt-BR"/>
        </w:rPr>
        <w:t xml:space="preserve">.0 da Tabela XVII do Anexo VI - </w:t>
      </w:r>
      <w:r w:rsidRPr="00FA593A">
        <w:rPr>
          <w:rFonts w:ascii="Times New Roman" w:hAnsi="Times New Roman" w:cs="Times New Roman"/>
          <w:sz w:val="24"/>
          <w:szCs w:val="24"/>
          <w:lang w:eastAsia="pt-BR"/>
        </w:rPr>
        <w:t>Convênio I</w:t>
      </w:r>
      <w:r w:rsidR="00EE4BE0">
        <w:rPr>
          <w:rFonts w:ascii="Times New Roman" w:hAnsi="Times New Roman" w:cs="Times New Roman"/>
          <w:sz w:val="24"/>
          <w:szCs w:val="24"/>
          <w:lang w:eastAsia="pt-BR"/>
        </w:rPr>
        <w:t xml:space="preserve">CMS 38/19, efeitos a partir de </w:t>
      </w:r>
      <w:r w:rsidRPr="00FA593A">
        <w:rPr>
          <w:rFonts w:ascii="Times New Roman" w:hAnsi="Times New Roman" w:cs="Times New Roman"/>
          <w:sz w:val="24"/>
          <w:szCs w:val="24"/>
          <w:lang w:eastAsia="pt-BR"/>
        </w:rPr>
        <w:t>1</w:t>
      </w:r>
      <w:r w:rsidR="00F03A58">
        <w:rPr>
          <w:rFonts w:ascii="Times New Roman" w:hAnsi="Times New Roman" w:cs="Times New Roman"/>
          <w:sz w:val="24"/>
          <w:szCs w:val="24"/>
          <w:lang w:eastAsia="pt-BR"/>
        </w:rPr>
        <w:t>º de julho de 2019:</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p>
    <w:tbl>
      <w:tblPr>
        <w:tblW w:w="9639" w:type="dxa"/>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1"/>
        <w:gridCol w:w="2263"/>
        <w:gridCol w:w="992"/>
        <w:gridCol w:w="1134"/>
        <w:gridCol w:w="1132"/>
        <w:gridCol w:w="1270"/>
        <w:gridCol w:w="1169"/>
        <w:gridCol w:w="1228"/>
      </w:tblGrid>
      <w:tr w:rsidR="00FA593A" w:rsidRPr="00FA593A" w:rsidTr="00A975FB">
        <w:trPr>
          <w:tblCellSpacing w:w="0" w:type="dxa"/>
        </w:trPr>
        <w:tc>
          <w:tcPr>
            <w:tcW w:w="42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83.0</w:t>
            </w:r>
          </w:p>
        </w:tc>
        <w:tc>
          <w:tcPr>
            <w:tcW w:w="226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Carne de gado bovino, ovino e bufalino e produtos comestíveis resultantes da matança desse gado submetidos à salga, secagem ou desidratação, exceto os descritos no CEST 17.083.01</w:t>
            </w:r>
          </w:p>
        </w:tc>
        <w:tc>
          <w:tcPr>
            <w:tcW w:w="992"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7330F1">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17.083.00</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7330F1">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0210.20.00 0210.99.00 1502</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7330F1">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35,00%</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7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V - o item </w:t>
      </w:r>
      <w:r w:rsidR="00F03A58">
        <w:rPr>
          <w:rFonts w:ascii="Times New Roman" w:hAnsi="Times New Roman" w:cs="Times New Roman"/>
          <w:sz w:val="24"/>
          <w:szCs w:val="24"/>
          <w:lang w:eastAsia="pt-BR"/>
        </w:rPr>
        <w:t xml:space="preserve">63.0 da Tabela XX do Anexo VI - </w:t>
      </w:r>
      <w:r w:rsidRPr="00FA593A">
        <w:rPr>
          <w:rFonts w:ascii="Times New Roman" w:hAnsi="Times New Roman" w:cs="Times New Roman"/>
          <w:sz w:val="24"/>
          <w:szCs w:val="24"/>
          <w:lang w:eastAsia="pt-BR"/>
        </w:rPr>
        <w:t>Convênio ICMS 38/19</w:t>
      </w:r>
      <w:r w:rsidR="00EE4BE0">
        <w:rPr>
          <w:rFonts w:ascii="Times New Roman" w:hAnsi="Times New Roman" w:cs="Times New Roman"/>
          <w:sz w:val="24"/>
          <w:szCs w:val="24"/>
          <w:lang w:eastAsia="pt-BR"/>
        </w:rPr>
        <w:t xml:space="preserve">, efeitos a partir de </w:t>
      </w:r>
      <w:r w:rsidR="001210DD">
        <w:rPr>
          <w:rFonts w:ascii="Times New Roman" w:hAnsi="Times New Roman" w:cs="Times New Roman"/>
          <w:sz w:val="24"/>
          <w:szCs w:val="24"/>
          <w:lang w:eastAsia="pt-BR"/>
        </w:rPr>
        <w:t>1</w:t>
      </w:r>
      <w:r w:rsidR="00EE4BE0">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34706C"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67"/>
        <w:gridCol w:w="2127"/>
        <w:gridCol w:w="992"/>
        <w:gridCol w:w="1134"/>
        <w:gridCol w:w="1134"/>
        <w:gridCol w:w="1328"/>
        <w:gridCol w:w="1174"/>
        <w:gridCol w:w="1174"/>
      </w:tblGrid>
      <w:tr w:rsidR="00FA593A" w:rsidRPr="00FA593A" w:rsidTr="00A975FB">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63.0</w:t>
            </w:r>
          </w:p>
        </w:tc>
        <w:tc>
          <w:tcPr>
            <w:tcW w:w="2127"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EE4BE0" w:rsidP="00A975FB">
            <w:pPr>
              <w:pStyle w:val="SemEspaamento"/>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Cartões </w:t>
            </w:r>
            <w:r w:rsidR="00FA593A" w:rsidRPr="00FA593A">
              <w:rPr>
                <w:rFonts w:ascii="Times New Roman" w:hAnsi="Times New Roman" w:cs="Times New Roman"/>
                <w:sz w:val="24"/>
                <w:szCs w:val="24"/>
                <w:lang w:eastAsia="pt-BR"/>
              </w:rPr>
              <w:t>inteligentes ("</w:t>
            </w:r>
            <w:proofErr w:type="spellStart"/>
            <w:r w:rsidR="00FA593A" w:rsidRPr="00FA593A">
              <w:rPr>
                <w:rFonts w:ascii="Times New Roman" w:hAnsi="Times New Roman" w:cs="Times New Roman"/>
                <w:sz w:val="24"/>
                <w:szCs w:val="24"/>
                <w:lang w:eastAsia="pt-BR"/>
              </w:rPr>
              <w:t>smartcards</w:t>
            </w:r>
            <w:proofErr w:type="spellEnd"/>
            <w:r w:rsidR="00FA593A" w:rsidRPr="00FA593A">
              <w:rPr>
                <w:rFonts w:ascii="Times New Roman" w:hAnsi="Times New Roman" w:cs="Times New Roman"/>
                <w:sz w:val="24"/>
                <w:szCs w:val="24"/>
                <w:lang w:eastAsia="pt-BR"/>
              </w:rPr>
              <w:t xml:space="preserve">"), </w:t>
            </w:r>
            <w:r w:rsidR="00A975FB">
              <w:rPr>
                <w:rFonts w:ascii="Times New Roman" w:hAnsi="Times New Roman" w:cs="Times New Roman"/>
                <w:sz w:val="24"/>
                <w:szCs w:val="24"/>
                <w:lang w:eastAsia="pt-BR"/>
              </w:rPr>
              <w:t>e</w:t>
            </w:r>
            <w:r w:rsidR="00FA593A" w:rsidRPr="00FA593A">
              <w:rPr>
                <w:rFonts w:ascii="Times New Roman" w:hAnsi="Times New Roman" w:cs="Times New Roman"/>
                <w:sz w:val="24"/>
                <w:szCs w:val="24"/>
                <w:lang w:eastAsia="pt-BR"/>
              </w:rPr>
              <w:t>xceto o item classificado no CEST 21.064.00</w:t>
            </w:r>
          </w:p>
        </w:tc>
        <w:tc>
          <w:tcPr>
            <w:tcW w:w="992"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21.063.00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8523.52.00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975FB" w:rsidRDefault="00A975FB" w:rsidP="00A975FB">
            <w:pPr>
              <w:pStyle w:val="SemEspaamento"/>
              <w:ind w:hanging="15"/>
              <w:jc w:val="center"/>
              <w:rPr>
                <w:rFonts w:ascii="Times New Roman" w:hAnsi="Times New Roman" w:cs="Times New Roman"/>
                <w:sz w:val="24"/>
                <w:szCs w:val="24"/>
                <w:lang w:eastAsia="pt-BR"/>
              </w:rPr>
            </w:pPr>
          </w:p>
          <w:p w:rsidR="00FA593A" w:rsidRPr="00FA593A" w:rsidRDefault="00FA593A" w:rsidP="00A975FB">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9,00%</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328" w:type="dxa"/>
            <w:tcBorders>
              <w:top w:val="outset" w:sz="6" w:space="0" w:color="auto"/>
              <w:left w:val="outset" w:sz="6" w:space="0" w:color="auto"/>
              <w:bottom w:val="outset" w:sz="6" w:space="0" w:color="auto"/>
              <w:right w:val="outset" w:sz="6" w:space="0" w:color="auto"/>
            </w:tcBorders>
            <w:vAlign w:val="center"/>
            <w:hideMark/>
          </w:tcPr>
          <w:p w:rsidR="00A975FB" w:rsidRDefault="00A975FB" w:rsidP="00A975FB">
            <w:pPr>
              <w:pStyle w:val="SemEspaamento"/>
              <w:jc w:val="center"/>
              <w:rPr>
                <w:rFonts w:ascii="Times New Roman" w:hAnsi="Times New Roman" w:cs="Times New Roman"/>
                <w:sz w:val="24"/>
                <w:szCs w:val="24"/>
                <w:lang w:eastAsia="pt-BR"/>
              </w:rPr>
            </w:pPr>
          </w:p>
          <w:p w:rsidR="00FA593A" w:rsidRPr="00FA593A" w:rsidRDefault="00FA593A" w:rsidP="00A975F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26,84%</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74" w:type="dxa"/>
            <w:tcBorders>
              <w:top w:val="outset" w:sz="6" w:space="0" w:color="auto"/>
              <w:left w:val="outset" w:sz="6" w:space="0" w:color="auto"/>
              <w:bottom w:val="outset" w:sz="6" w:space="0" w:color="auto"/>
              <w:right w:val="outset" w:sz="6" w:space="0" w:color="auto"/>
            </w:tcBorders>
            <w:vAlign w:val="center"/>
            <w:hideMark/>
          </w:tcPr>
          <w:p w:rsidR="00A975FB" w:rsidRDefault="00A975FB" w:rsidP="00A975FB">
            <w:pPr>
              <w:pStyle w:val="SemEspaamento"/>
              <w:jc w:val="center"/>
              <w:rPr>
                <w:rFonts w:ascii="Times New Roman" w:hAnsi="Times New Roman" w:cs="Times New Roman"/>
                <w:sz w:val="24"/>
                <w:szCs w:val="24"/>
                <w:lang w:eastAsia="pt-BR"/>
              </w:rPr>
            </w:pPr>
          </w:p>
          <w:p w:rsidR="00FA593A" w:rsidRPr="00FA593A" w:rsidRDefault="00FA593A" w:rsidP="00A975F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22,87%</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74" w:type="dxa"/>
            <w:tcBorders>
              <w:top w:val="outset" w:sz="6" w:space="0" w:color="auto"/>
              <w:left w:val="outset" w:sz="6" w:space="0" w:color="auto"/>
              <w:bottom w:val="outset" w:sz="6" w:space="0" w:color="auto"/>
              <w:right w:val="outset" w:sz="6" w:space="0" w:color="auto"/>
            </w:tcBorders>
            <w:vAlign w:val="center"/>
            <w:hideMark/>
          </w:tcPr>
          <w:p w:rsidR="00A975FB" w:rsidRDefault="00A975FB" w:rsidP="00A975FB">
            <w:pPr>
              <w:pStyle w:val="SemEspaamento"/>
              <w:ind w:firstLine="34"/>
              <w:jc w:val="center"/>
              <w:rPr>
                <w:rFonts w:ascii="Times New Roman" w:hAnsi="Times New Roman" w:cs="Times New Roman"/>
                <w:sz w:val="24"/>
                <w:szCs w:val="24"/>
                <w:lang w:eastAsia="pt-BR"/>
              </w:rPr>
            </w:pPr>
          </w:p>
          <w:p w:rsidR="00FA593A" w:rsidRPr="00FA593A" w:rsidRDefault="00FA593A" w:rsidP="00A975FB">
            <w:pPr>
              <w:pStyle w:val="SemEspaamento"/>
              <w:ind w:firstLine="34"/>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16,27%</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A975FB">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lastRenderedPageBreak/>
        <w:t xml:space="preserve">VI - o item </w:t>
      </w:r>
      <w:r w:rsidR="00F03A58">
        <w:rPr>
          <w:rFonts w:ascii="Times New Roman" w:hAnsi="Times New Roman" w:cs="Times New Roman"/>
          <w:sz w:val="24"/>
          <w:szCs w:val="24"/>
          <w:lang w:eastAsia="pt-BR"/>
        </w:rPr>
        <w:t xml:space="preserve">20.0 da Tabela XXVI do Anexo VI - </w:t>
      </w:r>
      <w:r w:rsidRPr="00FA593A">
        <w:rPr>
          <w:rFonts w:ascii="Times New Roman" w:hAnsi="Times New Roman" w:cs="Times New Roman"/>
          <w:sz w:val="24"/>
          <w:szCs w:val="24"/>
          <w:lang w:eastAsia="pt-BR"/>
        </w:rPr>
        <w:t>(Convênio ICMS 38/19, efeitos a partir de 1</w:t>
      </w:r>
      <w:r w:rsidR="00EE4BE0">
        <w:rPr>
          <w:rFonts w:ascii="Times New Roman" w:hAnsi="Times New Roman" w:cs="Times New Roman"/>
          <w:sz w:val="24"/>
          <w:szCs w:val="24"/>
          <w:lang w:eastAsia="pt-BR"/>
        </w:rPr>
        <w:t xml:space="preserve">º de julho </w:t>
      </w:r>
      <w:r w:rsidR="00F03A58">
        <w:rPr>
          <w:rFonts w:ascii="Times New Roman" w:hAnsi="Times New Roman" w:cs="Times New Roman"/>
          <w:sz w:val="24"/>
          <w:szCs w:val="24"/>
          <w:lang w:eastAsia="pt-BR"/>
        </w:rPr>
        <w:t>de 2019:</w:t>
      </w:r>
    </w:p>
    <w:p w:rsidR="00FA593A" w:rsidRPr="00FA593A" w:rsidRDefault="0034706C"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
        <w:gridCol w:w="2127"/>
        <w:gridCol w:w="992"/>
        <w:gridCol w:w="1134"/>
        <w:gridCol w:w="1134"/>
        <w:gridCol w:w="1276"/>
        <w:gridCol w:w="1134"/>
        <w:gridCol w:w="1266"/>
      </w:tblGrid>
      <w:tr w:rsidR="00FA593A" w:rsidRPr="00FA593A" w:rsidTr="00A975FB">
        <w:trPr>
          <w:tblCellSpacing w:w="0" w:type="dxa"/>
        </w:trPr>
        <w:tc>
          <w:tcPr>
            <w:tcW w:w="567"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20.0</w:t>
            </w:r>
          </w:p>
        </w:tc>
        <w:tc>
          <w:tcPr>
            <w:tcW w:w="2127"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Sabões de toucador em barras, pedaços ou figuras moldados, exceto CEST 28.020.01</w:t>
            </w:r>
          </w:p>
        </w:tc>
        <w:tc>
          <w:tcPr>
            <w:tcW w:w="992"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28.020.00</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A975FB">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3401.11.90</w:t>
            </w:r>
          </w:p>
        </w:tc>
        <w:tc>
          <w:tcPr>
            <w:tcW w:w="1134" w:type="dxa"/>
            <w:tcBorders>
              <w:top w:val="outset" w:sz="6" w:space="0" w:color="auto"/>
              <w:left w:val="outset" w:sz="6" w:space="0" w:color="auto"/>
              <w:bottom w:val="outset" w:sz="6" w:space="0" w:color="auto"/>
              <w:right w:val="outset" w:sz="6" w:space="0" w:color="auto"/>
            </w:tcBorders>
            <w:vAlign w:val="center"/>
            <w:hideMark/>
          </w:tcPr>
          <w:p w:rsidR="00A975FB" w:rsidRDefault="00A975FB" w:rsidP="00A975FB">
            <w:pPr>
              <w:pStyle w:val="SemEspaamento"/>
              <w:jc w:val="center"/>
              <w:rPr>
                <w:rFonts w:ascii="Times New Roman" w:hAnsi="Times New Roman" w:cs="Times New Roman"/>
                <w:sz w:val="24"/>
                <w:szCs w:val="24"/>
                <w:lang w:eastAsia="pt-BR"/>
              </w:rPr>
            </w:pPr>
          </w:p>
          <w:p w:rsidR="00FA593A" w:rsidRPr="00FA593A" w:rsidRDefault="00FA593A" w:rsidP="00A975F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50,00%</w:t>
            </w:r>
          </w:p>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p>
        </w:tc>
        <w:tc>
          <w:tcPr>
            <w:tcW w:w="126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ind w:firstLine="567"/>
              <w:jc w:val="both"/>
              <w:rPr>
                <w:rFonts w:ascii="Times New Roman" w:hAnsi="Times New Roman" w:cs="Times New Roman"/>
                <w:sz w:val="24"/>
                <w:szCs w:val="24"/>
                <w:lang w:eastAsia="pt-BR"/>
              </w:rPr>
            </w:pP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VII - os itens 14 e 15 em “PRODUTOS LÁCTEOS CONSTANTES DA TABELA XVII DA PARTE 2” da Tabela I da </w:t>
      </w:r>
      <w:r w:rsidR="00F03A58">
        <w:rPr>
          <w:rFonts w:ascii="Times New Roman" w:hAnsi="Times New Roman" w:cs="Times New Roman"/>
          <w:sz w:val="24"/>
          <w:szCs w:val="24"/>
          <w:lang w:eastAsia="pt-BR"/>
        </w:rPr>
        <w:t xml:space="preserve">Parte 4 do Anexo VI - </w:t>
      </w:r>
      <w:r w:rsidRPr="00FA593A">
        <w:rPr>
          <w:rFonts w:ascii="Times New Roman" w:hAnsi="Times New Roman" w:cs="Times New Roman"/>
          <w:sz w:val="24"/>
          <w:szCs w:val="24"/>
          <w:lang w:eastAsia="pt-BR"/>
        </w:rPr>
        <w:t>Convênio I</w:t>
      </w:r>
      <w:r w:rsidR="00EE4BE0">
        <w:rPr>
          <w:rFonts w:ascii="Times New Roman" w:hAnsi="Times New Roman" w:cs="Times New Roman"/>
          <w:sz w:val="24"/>
          <w:szCs w:val="24"/>
          <w:lang w:eastAsia="pt-BR"/>
        </w:rPr>
        <w:t xml:space="preserve">CMS 38/19, efeitos a partir de </w:t>
      </w:r>
      <w:r w:rsidRPr="00FA593A">
        <w:rPr>
          <w:rFonts w:ascii="Times New Roman" w:hAnsi="Times New Roman" w:cs="Times New Roman"/>
          <w:sz w:val="24"/>
          <w:szCs w:val="24"/>
          <w:lang w:eastAsia="pt-BR"/>
        </w:rPr>
        <w:t>1</w:t>
      </w:r>
      <w:r w:rsidR="00EE4BE0">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5"/>
        <w:gridCol w:w="1218"/>
        <w:gridCol w:w="1276"/>
        <w:gridCol w:w="6511"/>
      </w:tblGrid>
      <w:tr w:rsidR="00FA593A" w:rsidRPr="00FA593A" w:rsidTr="0034706C">
        <w:trPr>
          <w:tblCellSpacing w:w="0" w:type="dxa"/>
        </w:trPr>
        <w:tc>
          <w:tcPr>
            <w:tcW w:w="62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ITEM</w:t>
            </w:r>
          </w:p>
        </w:tc>
        <w:tc>
          <w:tcPr>
            <w:tcW w:w="12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ind w:hanging="73"/>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CEST</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ind w:firstLine="70"/>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NCM/SH</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ind w:firstLine="567"/>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DESCRIÇÃO</w:t>
            </w:r>
          </w:p>
        </w:tc>
      </w:tr>
      <w:tr w:rsidR="00FA593A" w:rsidRPr="00FA593A" w:rsidTr="0034706C">
        <w:trPr>
          <w:tblCellSpacing w:w="0" w:type="dxa"/>
        </w:trPr>
        <w:tc>
          <w:tcPr>
            <w:tcW w:w="62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14</w:t>
            </w:r>
          </w:p>
        </w:tc>
        <w:tc>
          <w:tcPr>
            <w:tcW w:w="12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17.021.00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0403</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Iogurte e leite fermentado em recipiente de conteúdo inferior ou igual a 2 litros, exceto o item classificado no CEST 17.022.00</w:t>
            </w:r>
          </w:p>
        </w:tc>
      </w:tr>
      <w:tr w:rsidR="00FA593A" w:rsidRPr="00FA593A" w:rsidTr="0034706C">
        <w:trPr>
          <w:tblCellSpacing w:w="0" w:type="dxa"/>
        </w:trPr>
        <w:tc>
          <w:tcPr>
            <w:tcW w:w="62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15</w:t>
            </w:r>
          </w:p>
        </w:tc>
        <w:tc>
          <w:tcPr>
            <w:tcW w:w="12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17.021.01</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0403</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Iogurte e leite fermentado em recipiente de conteúdo superior a 2 litros, exceto o item classificado no CEST 17.022.00</w:t>
            </w: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VIII - o item 15 em “CARNES E SUAS PREPARAÇÕES CONSTANTES DA TABELA XVII DA PARTE 2” da Tabela I da</w:t>
      </w:r>
      <w:r w:rsidR="00F03A58">
        <w:rPr>
          <w:rFonts w:ascii="Times New Roman" w:hAnsi="Times New Roman" w:cs="Times New Roman"/>
          <w:sz w:val="24"/>
          <w:szCs w:val="24"/>
          <w:lang w:eastAsia="pt-BR"/>
        </w:rPr>
        <w:t xml:space="preserve"> Parte 4 do Anexo VI - </w:t>
      </w:r>
      <w:r w:rsidRPr="00FA593A">
        <w:rPr>
          <w:rFonts w:ascii="Times New Roman" w:hAnsi="Times New Roman" w:cs="Times New Roman"/>
          <w:sz w:val="24"/>
          <w:szCs w:val="24"/>
          <w:lang w:eastAsia="pt-BR"/>
        </w:rPr>
        <w:t>Convênio I</w:t>
      </w:r>
      <w:r w:rsidR="00EE4BE0">
        <w:rPr>
          <w:rFonts w:ascii="Times New Roman" w:hAnsi="Times New Roman" w:cs="Times New Roman"/>
          <w:sz w:val="24"/>
          <w:szCs w:val="24"/>
          <w:lang w:eastAsia="pt-BR"/>
        </w:rPr>
        <w:t xml:space="preserve">CMS 38/19, efeitos a partir de </w:t>
      </w:r>
      <w:r w:rsidRPr="00FA593A">
        <w:rPr>
          <w:rFonts w:ascii="Times New Roman" w:hAnsi="Times New Roman" w:cs="Times New Roman"/>
          <w:sz w:val="24"/>
          <w:szCs w:val="24"/>
          <w:lang w:eastAsia="pt-BR"/>
        </w:rPr>
        <w:t>1</w:t>
      </w:r>
      <w:r w:rsidR="00EE4BE0">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625"/>
        <w:gridCol w:w="1218"/>
        <w:gridCol w:w="1276"/>
        <w:gridCol w:w="6511"/>
      </w:tblGrid>
      <w:tr w:rsidR="00FA593A" w:rsidRPr="00FA593A" w:rsidTr="00BD4FBB">
        <w:trPr>
          <w:tblCellSpacing w:w="0" w:type="dxa"/>
        </w:trPr>
        <w:tc>
          <w:tcPr>
            <w:tcW w:w="62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3A">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ITEM</w:t>
            </w:r>
          </w:p>
        </w:tc>
        <w:tc>
          <w:tcPr>
            <w:tcW w:w="12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CEST</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NCM/SH</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ind w:firstLine="567"/>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DESCRIÇÃO</w:t>
            </w:r>
          </w:p>
        </w:tc>
      </w:tr>
      <w:tr w:rsidR="00FA593A" w:rsidRPr="00FA593A" w:rsidTr="00BD4FBB">
        <w:trPr>
          <w:tblCellSpacing w:w="0" w:type="dxa"/>
        </w:trPr>
        <w:tc>
          <w:tcPr>
            <w:tcW w:w="625"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34706C">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15</w:t>
            </w:r>
          </w:p>
        </w:tc>
        <w:tc>
          <w:tcPr>
            <w:tcW w:w="1218"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17.083.00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0210.20.00</w:t>
            </w:r>
          </w:p>
          <w:p w:rsidR="00FA593A" w:rsidRPr="00FA593A" w:rsidRDefault="00FA593A" w:rsidP="00BD4FB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0210.99.00 1502</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Carne de gado bovino, ovino e bufalino e produtos comestíveis resultantes da matança desse gado submetidos à salga, secagem ou desidratação, exceto os descritos no CEST 17.083.01</w:t>
            </w: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IX - o item 4 em “PREPARAÇÕES </w:t>
      </w:r>
      <w:r w:rsidR="00D93629">
        <w:rPr>
          <w:rFonts w:ascii="Times New Roman" w:hAnsi="Times New Roman" w:cs="Times New Roman"/>
          <w:sz w:val="24"/>
          <w:szCs w:val="24"/>
          <w:lang w:eastAsia="pt-BR"/>
        </w:rPr>
        <w:t>À</w:t>
      </w:r>
      <w:r w:rsidRPr="00FA593A">
        <w:rPr>
          <w:rFonts w:ascii="Times New Roman" w:hAnsi="Times New Roman" w:cs="Times New Roman"/>
          <w:sz w:val="24"/>
          <w:szCs w:val="24"/>
          <w:lang w:eastAsia="pt-BR"/>
        </w:rPr>
        <w:t xml:space="preserve"> BASE DE CEREAIS CONSTANTES DA TABELA XVII DA PARTE 2 da Tabela I da Parte 4</w:t>
      </w:r>
      <w:r w:rsidR="00F03A58">
        <w:rPr>
          <w:rFonts w:ascii="Times New Roman" w:hAnsi="Times New Roman" w:cs="Times New Roman"/>
          <w:sz w:val="24"/>
          <w:szCs w:val="24"/>
          <w:lang w:eastAsia="pt-BR"/>
        </w:rPr>
        <w:t xml:space="preserve"> - OUTRAS TABELAS do Anexo VI - </w:t>
      </w:r>
      <w:r w:rsidRPr="00FA593A">
        <w:rPr>
          <w:rFonts w:ascii="Times New Roman" w:hAnsi="Times New Roman" w:cs="Times New Roman"/>
          <w:sz w:val="24"/>
          <w:szCs w:val="24"/>
          <w:lang w:eastAsia="pt-BR"/>
        </w:rPr>
        <w:t>Convênio I</w:t>
      </w:r>
      <w:r w:rsidR="00FA5992">
        <w:rPr>
          <w:rFonts w:ascii="Times New Roman" w:hAnsi="Times New Roman" w:cs="Times New Roman"/>
          <w:sz w:val="24"/>
          <w:szCs w:val="24"/>
          <w:lang w:eastAsia="pt-BR"/>
        </w:rPr>
        <w:t xml:space="preserve">CMS 38/19, efeitos a partir de </w:t>
      </w:r>
      <w:r w:rsidRPr="00FA593A">
        <w:rPr>
          <w:rFonts w:ascii="Times New Roman" w:hAnsi="Times New Roman" w:cs="Times New Roman"/>
          <w:sz w:val="24"/>
          <w:szCs w:val="24"/>
          <w:lang w:eastAsia="pt-BR"/>
        </w:rPr>
        <w:t>1</w:t>
      </w:r>
      <w:r w:rsidR="00FA5992">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134"/>
        <w:gridCol w:w="1276"/>
        <w:gridCol w:w="6511"/>
      </w:tblGrid>
      <w:tr w:rsidR="00FA593A" w:rsidRPr="00FA593A" w:rsidTr="00B37427">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ITEM</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CEST</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NCM/SH</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ind w:firstLine="567"/>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DESCRIÇÃO</w:t>
            </w:r>
          </w:p>
        </w:tc>
      </w:tr>
      <w:tr w:rsidR="00FA593A" w:rsidRPr="00FA593A" w:rsidTr="00B37427">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D4FBB">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4</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17.031.00</w:t>
            </w:r>
          </w:p>
        </w:tc>
        <w:tc>
          <w:tcPr>
            <w:tcW w:w="12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ind w:hanging="15"/>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1905.90.90</w:t>
            </w:r>
          </w:p>
        </w:tc>
        <w:tc>
          <w:tcPr>
            <w:tcW w:w="65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Salgadinhos diversos, exceto os classificados no CEST 17.031.01</w:t>
            </w: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X - o item 1 da Tabela XXIII do An</w:t>
      </w:r>
      <w:r w:rsidR="00F03A58">
        <w:rPr>
          <w:rFonts w:ascii="Times New Roman" w:hAnsi="Times New Roman" w:cs="Times New Roman"/>
          <w:sz w:val="24"/>
          <w:szCs w:val="24"/>
          <w:lang w:eastAsia="pt-BR"/>
        </w:rPr>
        <w:t xml:space="preserve">exo VI - </w:t>
      </w:r>
      <w:r w:rsidRPr="00FA593A">
        <w:rPr>
          <w:rFonts w:ascii="Times New Roman" w:hAnsi="Times New Roman" w:cs="Times New Roman"/>
          <w:sz w:val="24"/>
          <w:szCs w:val="24"/>
          <w:lang w:eastAsia="pt-BR"/>
        </w:rPr>
        <w:t>Convênio I</w:t>
      </w:r>
      <w:r w:rsidR="00FA5992">
        <w:rPr>
          <w:rFonts w:ascii="Times New Roman" w:hAnsi="Times New Roman" w:cs="Times New Roman"/>
          <w:sz w:val="24"/>
          <w:szCs w:val="24"/>
          <w:lang w:eastAsia="pt-BR"/>
        </w:rPr>
        <w:t xml:space="preserve">CMS 43/19, efeitos a partir de </w:t>
      </w:r>
      <w:r w:rsidRPr="00FA593A">
        <w:rPr>
          <w:rFonts w:ascii="Times New Roman" w:hAnsi="Times New Roman" w:cs="Times New Roman"/>
          <w:sz w:val="24"/>
          <w:szCs w:val="24"/>
          <w:lang w:eastAsia="pt-BR"/>
        </w:rPr>
        <w:t>1</w:t>
      </w:r>
      <w:r w:rsidR="00FA5992">
        <w:rPr>
          <w:rFonts w:ascii="Times New Roman" w:hAnsi="Times New Roman" w:cs="Times New Roman"/>
          <w:sz w:val="24"/>
          <w:szCs w:val="24"/>
          <w:lang w:eastAsia="pt-BR"/>
        </w:rPr>
        <w:t>º de maio de 20</w:t>
      </w:r>
      <w:r w:rsidR="00F03A58">
        <w:rPr>
          <w:rFonts w:ascii="Times New Roman" w:hAnsi="Times New Roman" w:cs="Times New Roman"/>
          <w:sz w:val="24"/>
          <w:szCs w:val="24"/>
          <w:lang w:eastAsia="pt-BR"/>
        </w:rPr>
        <w:t>19:</w:t>
      </w:r>
    </w:p>
    <w:p w:rsidR="00D93629" w:rsidRPr="00FA593A" w:rsidRDefault="00D93629"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lastRenderedPageBreak/>
        <w:t>“</w:t>
      </w:r>
    </w:p>
    <w:tbl>
      <w:tblPr>
        <w:tblW w:w="9680" w:type="dxa"/>
        <w:tblCellSpacing w:w="0" w:type="dxa"/>
        <w:tblInd w:w="5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184"/>
        <w:gridCol w:w="1226"/>
        <w:gridCol w:w="6561"/>
      </w:tblGrid>
      <w:tr w:rsidR="00FA593A" w:rsidRPr="00FA593A" w:rsidTr="00B37427">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w:t>
            </w:r>
          </w:p>
        </w:tc>
        <w:tc>
          <w:tcPr>
            <w:tcW w:w="118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Todas</w:t>
            </w:r>
          </w:p>
        </w:tc>
        <w:tc>
          <w:tcPr>
            <w:tcW w:w="122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01/01/18</w:t>
            </w:r>
          </w:p>
        </w:tc>
        <w:tc>
          <w:tcPr>
            <w:tcW w:w="656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FA5992">
            <w:pPr>
              <w:pStyle w:val="SemEspaamento"/>
              <w:ind w:hanging="15"/>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Conv</w:t>
            </w:r>
            <w:r w:rsidR="00FA5992">
              <w:rPr>
                <w:rFonts w:ascii="Times New Roman" w:hAnsi="Times New Roman" w:cs="Times New Roman"/>
                <w:sz w:val="24"/>
                <w:szCs w:val="24"/>
                <w:lang w:eastAsia="pt-BR"/>
              </w:rPr>
              <w:t>ênio</w:t>
            </w:r>
            <w:r w:rsidRPr="00FA593A">
              <w:rPr>
                <w:rFonts w:ascii="Times New Roman" w:hAnsi="Times New Roman" w:cs="Times New Roman"/>
                <w:sz w:val="24"/>
                <w:szCs w:val="24"/>
                <w:lang w:eastAsia="pt-BR"/>
              </w:rPr>
              <w:t xml:space="preserve"> ICMS 43/19, efeitos a partir de 01/05/19: Exclusão do Estado de Santa Catarina.</w:t>
            </w: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XI - o item</w:t>
      </w:r>
      <w:r w:rsidR="00F03A58">
        <w:rPr>
          <w:rFonts w:ascii="Times New Roman" w:hAnsi="Times New Roman" w:cs="Times New Roman"/>
          <w:sz w:val="24"/>
          <w:szCs w:val="24"/>
          <w:lang w:eastAsia="pt-BR"/>
        </w:rPr>
        <w:t xml:space="preserve"> 1 da Tabela XXVI do Anexo VI - </w:t>
      </w:r>
      <w:r w:rsidRPr="00FA593A">
        <w:rPr>
          <w:rFonts w:ascii="Times New Roman" w:hAnsi="Times New Roman" w:cs="Times New Roman"/>
          <w:sz w:val="24"/>
          <w:szCs w:val="24"/>
          <w:lang w:eastAsia="pt-BR"/>
        </w:rPr>
        <w:t>Convênio ICMS 49/19, efeitos a partir de 1</w:t>
      </w:r>
      <w:r w:rsidR="00FA5992">
        <w:rPr>
          <w:rFonts w:ascii="Times New Roman" w:hAnsi="Times New Roman" w:cs="Times New Roman"/>
          <w:sz w:val="24"/>
          <w:szCs w:val="24"/>
          <w:lang w:eastAsia="pt-BR"/>
        </w:rPr>
        <w:t>º de junho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p>
    <w:tbl>
      <w:tblPr>
        <w:tblW w:w="0" w:type="auto"/>
        <w:tblCellSpacing w:w="0" w:type="dxa"/>
        <w:tblInd w:w="55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09"/>
        <w:gridCol w:w="1134"/>
        <w:gridCol w:w="1211"/>
        <w:gridCol w:w="6576"/>
      </w:tblGrid>
      <w:tr w:rsidR="00FA593A" w:rsidRPr="00FA593A" w:rsidTr="00B37427">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Todas</w:t>
            </w:r>
          </w:p>
        </w:tc>
        <w:tc>
          <w:tcPr>
            <w:tcW w:w="1211"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3A" w:rsidP="00B37427">
            <w:pPr>
              <w:pStyle w:val="SemEspaamento"/>
              <w:jc w:val="center"/>
              <w:rPr>
                <w:rFonts w:ascii="Times New Roman" w:hAnsi="Times New Roman" w:cs="Times New Roman"/>
                <w:sz w:val="24"/>
                <w:szCs w:val="24"/>
                <w:lang w:eastAsia="pt-BR"/>
              </w:rPr>
            </w:pPr>
            <w:r w:rsidRPr="00FA593A">
              <w:rPr>
                <w:rFonts w:ascii="Times New Roman" w:hAnsi="Times New Roman" w:cs="Times New Roman"/>
                <w:sz w:val="24"/>
                <w:szCs w:val="24"/>
                <w:lang w:eastAsia="pt-BR"/>
              </w:rPr>
              <w:t>01/01/18</w:t>
            </w:r>
          </w:p>
        </w:tc>
        <w:tc>
          <w:tcPr>
            <w:tcW w:w="6576" w:type="dxa"/>
            <w:tcBorders>
              <w:top w:val="outset" w:sz="6" w:space="0" w:color="auto"/>
              <w:left w:val="outset" w:sz="6" w:space="0" w:color="auto"/>
              <w:bottom w:val="outset" w:sz="6" w:space="0" w:color="auto"/>
              <w:right w:val="outset" w:sz="6" w:space="0" w:color="auto"/>
            </w:tcBorders>
            <w:vAlign w:val="center"/>
            <w:hideMark/>
          </w:tcPr>
          <w:p w:rsidR="00FA593A" w:rsidRPr="00FA593A" w:rsidRDefault="00FA5992" w:rsidP="00FA5992">
            <w:pPr>
              <w:pStyle w:val="SemEspaamento"/>
              <w:jc w:val="both"/>
              <w:rPr>
                <w:rFonts w:ascii="Times New Roman" w:hAnsi="Times New Roman" w:cs="Times New Roman"/>
                <w:sz w:val="24"/>
                <w:szCs w:val="24"/>
                <w:lang w:eastAsia="pt-BR"/>
              </w:rPr>
            </w:pPr>
            <w:r>
              <w:rPr>
                <w:rFonts w:ascii="Times New Roman" w:hAnsi="Times New Roman" w:cs="Times New Roman"/>
                <w:sz w:val="24"/>
                <w:szCs w:val="24"/>
                <w:lang w:eastAsia="pt-BR"/>
              </w:rPr>
              <w:t>Convênio</w:t>
            </w:r>
            <w:r w:rsidR="00FA593A" w:rsidRPr="00FA593A">
              <w:rPr>
                <w:rFonts w:ascii="Times New Roman" w:hAnsi="Times New Roman" w:cs="Times New Roman"/>
                <w:sz w:val="24"/>
                <w:szCs w:val="24"/>
                <w:lang w:eastAsia="pt-BR"/>
              </w:rPr>
              <w:t xml:space="preserve"> I</w:t>
            </w:r>
            <w:r>
              <w:rPr>
                <w:rFonts w:ascii="Times New Roman" w:hAnsi="Times New Roman" w:cs="Times New Roman"/>
                <w:sz w:val="24"/>
                <w:szCs w:val="24"/>
                <w:lang w:eastAsia="pt-BR"/>
              </w:rPr>
              <w:t xml:space="preserve">CMS 49/19, efeitos a partir de </w:t>
            </w:r>
            <w:r w:rsidR="00FA593A" w:rsidRPr="00FA593A">
              <w:rPr>
                <w:rFonts w:ascii="Times New Roman" w:hAnsi="Times New Roman" w:cs="Times New Roman"/>
                <w:sz w:val="24"/>
                <w:szCs w:val="24"/>
                <w:lang w:eastAsia="pt-BR"/>
              </w:rPr>
              <w:t>1</w:t>
            </w:r>
            <w:r>
              <w:rPr>
                <w:rFonts w:ascii="Times New Roman" w:hAnsi="Times New Roman" w:cs="Times New Roman"/>
                <w:sz w:val="24"/>
                <w:szCs w:val="24"/>
                <w:lang w:eastAsia="pt-BR"/>
              </w:rPr>
              <w:t>º de junho de 20</w:t>
            </w:r>
            <w:r w:rsidR="00FA593A" w:rsidRPr="00FA593A">
              <w:rPr>
                <w:rFonts w:ascii="Times New Roman" w:hAnsi="Times New Roman" w:cs="Times New Roman"/>
                <w:sz w:val="24"/>
                <w:szCs w:val="24"/>
                <w:lang w:eastAsia="pt-BR"/>
              </w:rPr>
              <w:t>19: “Nas operações destinadas aos Estados do Acre, Alagoas, Amapá, Amazonas, Bahia, Ceará, Espírito Santo, Goiás, Maranhão, Mato Grosso, Mato Grosso do Sul, Minas Gerais, Paraíba, Pernambuco, Piauí, Rio Grande do Norte, Rio Grande do Sul, Rondônia, Santa Catarina, São Paulo, Sergipe, Tocantins e ao Distrito Federal na falta do preço de venda ao consumidor constante de tabela estabelecida por órgão competente, a base de cálculo será a prevista na legislação estadual destas unidades federadas.”</w:t>
            </w:r>
          </w:p>
        </w:tc>
      </w:tr>
    </w:tbl>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                                                                                                                                </w:t>
      </w:r>
      <w:r w:rsidR="00B3742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w:t>
      </w:r>
      <w:r w:rsidR="00F22E77">
        <w:rPr>
          <w:rFonts w:ascii="Times New Roman" w:hAnsi="Times New Roman" w:cs="Times New Roman"/>
          <w:sz w:val="24"/>
          <w:szCs w:val="24"/>
          <w:lang w:eastAsia="pt-BR"/>
        </w:rPr>
        <w:t xml:space="preserve"> </w:t>
      </w:r>
      <w:r w:rsidR="00FA593A" w:rsidRPr="00FA593A">
        <w:rPr>
          <w:rFonts w:ascii="Times New Roman" w:hAnsi="Times New Roman" w:cs="Times New Roman"/>
          <w:sz w:val="24"/>
          <w:szCs w:val="24"/>
          <w:lang w:eastAsia="pt-BR"/>
        </w:rPr>
        <w:t>(NR);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Art. 2º. Ficam acrescentados, com a seguinte redação, os dispositivos adiante enumerados ao Regulamento do Imposto sobre Operações Relativas à Circulação de Mercadorias e sobre Prestações de Serviços de Transporte Interestadual e Intermunicipal e de Comunicação - RICMS/RO, aprovado </w:t>
      </w:r>
      <w:r w:rsidR="00B37427">
        <w:rPr>
          <w:rFonts w:ascii="Times New Roman" w:hAnsi="Times New Roman" w:cs="Times New Roman"/>
          <w:sz w:val="24"/>
          <w:szCs w:val="24"/>
          <w:lang w:eastAsia="pt-BR"/>
        </w:rPr>
        <w:t>pelo Decreto nº</w:t>
      </w:r>
      <w:r w:rsidR="00FA5992">
        <w:rPr>
          <w:rFonts w:ascii="Times New Roman" w:hAnsi="Times New Roman" w:cs="Times New Roman"/>
          <w:sz w:val="24"/>
          <w:szCs w:val="24"/>
          <w:lang w:eastAsia="pt-BR"/>
        </w:rPr>
        <w:t xml:space="preserve"> 22.721, de 5 de abril de 2018:</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I - o inciso </w:t>
      </w:r>
      <w:r w:rsidR="00F03A58">
        <w:rPr>
          <w:rFonts w:ascii="Times New Roman" w:hAnsi="Times New Roman" w:cs="Times New Roman"/>
          <w:sz w:val="24"/>
          <w:szCs w:val="24"/>
          <w:lang w:eastAsia="pt-BR"/>
        </w:rPr>
        <w:t xml:space="preserve">XIII ao artigo 352 do Anexo X - </w:t>
      </w:r>
      <w:r w:rsidRPr="00FA593A">
        <w:rPr>
          <w:rFonts w:ascii="Times New Roman" w:hAnsi="Times New Roman" w:cs="Times New Roman"/>
          <w:sz w:val="24"/>
          <w:szCs w:val="24"/>
          <w:lang w:eastAsia="pt-BR"/>
        </w:rPr>
        <w:t>Convênio I</w:t>
      </w:r>
      <w:r w:rsidR="00FA5992">
        <w:rPr>
          <w:rFonts w:ascii="Times New Roman" w:hAnsi="Times New Roman" w:cs="Times New Roman"/>
          <w:sz w:val="24"/>
          <w:szCs w:val="24"/>
          <w:lang w:eastAsia="pt-BR"/>
        </w:rPr>
        <w:t xml:space="preserve">CMS 20/19, efeitos a partir de </w:t>
      </w:r>
      <w:r w:rsidRPr="00FA593A">
        <w:rPr>
          <w:rFonts w:ascii="Times New Roman" w:hAnsi="Times New Roman" w:cs="Times New Roman"/>
          <w:sz w:val="24"/>
          <w:szCs w:val="24"/>
          <w:lang w:eastAsia="pt-BR"/>
        </w:rPr>
        <w:t>1</w:t>
      </w:r>
      <w:r w:rsidR="00FA5992">
        <w:rPr>
          <w:rFonts w:ascii="Times New Roman" w:hAnsi="Times New Roman" w:cs="Times New Roman"/>
          <w:sz w:val="24"/>
          <w:szCs w:val="24"/>
          <w:lang w:eastAsia="pt-BR"/>
        </w:rPr>
        <w:t>º de maio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352.</w:t>
      </w:r>
      <w:r w:rsidR="00B37427">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sidR="00B37427">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XIII - Querosene de Aviação Alternativo e Querosene de Aviação B-X (QAV B-X), assim definidos pela ANP.</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sidR="00B37427">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92"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II - os incisos X </w:t>
      </w:r>
      <w:r w:rsidR="00FA593A" w:rsidRPr="00FA593A">
        <w:rPr>
          <w:rFonts w:ascii="Times New Roman" w:hAnsi="Times New Roman" w:cs="Times New Roman"/>
          <w:sz w:val="24"/>
          <w:szCs w:val="24"/>
          <w:lang w:eastAsia="pt-BR"/>
        </w:rPr>
        <w:t xml:space="preserve">e XI </w:t>
      </w:r>
      <w:r>
        <w:rPr>
          <w:rFonts w:ascii="Times New Roman" w:hAnsi="Times New Roman" w:cs="Times New Roman"/>
          <w:sz w:val="24"/>
          <w:szCs w:val="24"/>
          <w:lang w:eastAsia="pt-BR"/>
        </w:rPr>
        <w:t>a</w:t>
      </w:r>
      <w:r w:rsidR="00F03A58">
        <w:rPr>
          <w:rFonts w:ascii="Times New Roman" w:hAnsi="Times New Roman" w:cs="Times New Roman"/>
          <w:sz w:val="24"/>
          <w:szCs w:val="24"/>
          <w:lang w:eastAsia="pt-BR"/>
        </w:rPr>
        <w:t xml:space="preserve">o artigo 78 do Anexo XIII - </w:t>
      </w:r>
      <w:r w:rsidR="00FA593A" w:rsidRPr="00FA593A">
        <w:rPr>
          <w:rFonts w:ascii="Times New Roman" w:hAnsi="Times New Roman" w:cs="Times New Roman"/>
          <w:sz w:val="24"/>
          <w:szCs w:val="24"/>
          <w:lang w:eastAsia="pt-BR"/>
        </w:rPr>
        <w:t>Ajuste SIN</w:t>
      </w:r>
      <w:r>
        <w:rPr>
          <w:rFonts w:ascii="Times New Roman" w:hAnsi="Times New Roman" w:cs="Times New Roman"/>
          <w:sz w:val="24"/>
          <w:szCs w:val="24"/>
          <w:lang w:eastAsia="pt-BR"/>
        </w:rPr>
        <w:t xml:space="preserve">IEF 01/19, efeitos a partir de </w:t>
      </w:r>
      <w:r w:rsidR="00FA593A" w:rsidRPr="00FA593A">
        <w:rPr>
          <w:rFonts w:ascii="Times New Roman" w:hAnsi="Times New Roman" w:cs="Times New Roman"/>
          <w:sz w:val="24"/>
          <w:szCs w:val="24"/>
          <w:lang w:eastAsia="pt-BR"/>
        </w:rPr>
        <w:t>1</w:t>
      </w:r>
      <w:r>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78.</w:t>
      </w:r>
      <w:r w:rsidR="00B37427">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sidR="00B37427">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X - Nota Fiscal de Energia Elétrica Eletrônica - NF3e, modelo 66;</w:t>
      </w:r>
      <w:r w:rsidR="00B37427">
        <w:rPr>
          <w:rFonts w:ascii="Times New Roman" w:hAnsi="Times New Roman" w:cs="Times New Roman"/>
          <w:sz w:val="24"/>
          <w:szCs w:val="24"/>
          <w:lang w:eastAsia="pt-BR"/>
        </w:rPr>
        <w:t xml:space="preserve"> </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lastRenderedPageBreak/>
        <w:t>XI - Docu</w:t>
      </w:r>
      <w:r w:rsidR="00B37427">
        <w:rPr>
          <w:rFonts w:ascii="Times New Roman" w:hAnsi="Times New Roman" w:cs="Times New Roman"/>
          <w:sz w:val="24"/>
          <w:szCs w:val="24"/>
          <w:lang w:eastAsia="pt-BR"/>
        </w:rPr>
        <w:t>mento Auxiliar da NF3e - DANF3E;</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w:t>
      </w:r>
      <w:r>
        <w:rPr>
          <w:rFonts w:ascii="Times New Roman" w:hAnsi="Times New Roman" w:cs="Times New Roman"/>
          <w:sz w:val="24"/>
          <w:szCs w:val="24"/>
          <w:lang w:eastAsia="pt-BR"/>
        </w:rPr>
        <w:t>........................</w:t>
      </w:r>
      <w:r w:rsidR="00B37427">
        <w:rPr>
          <w:rFonts w:ascii="Times New Roman" w:hAnsi="Times New Roman" w:cs="Times New Roman"/>
          <w:sz w:val="24"/>
          <w:szCs w:val="24"/>
          <w:lang w:eastAsia="pt-BR"/>
        </w:rPr>
        <w:t>.............................</w:t>
      </w:r>
      <w:r>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III - a Seção IX-A ao Capítu</w:t>
      </w:r>
      <w:r w:rsidR="00F03A58">
        <w:rPr>
          <w:rFonts w:ascii="Times New Roman" w:hAnsi="Times New Roman" w:cs="Times New Roman"/>
          <w:sz w:val="24"/>
          <w:szCs w:val="24"/>
          <w:lang w:eastAsia="pt-BR"/>
        </w:rPr>
        <w:t xml:space="preserve">lo I da Parte 2 do Anexo XIII - </w:t>
      </w:r>
      <w:r w:rsidRPr="00FA593A">
        <w:rPr>
          <w:rFonts w:ascii="Times New Roman" w:hAnsi="Times New Roman" w:cs="Times New Roman"/>
          <w:sz w:val="24"/>
          <w:szCs w:val="24"/>
          <w:lang w:eastAsia="pt-BR"/>
        </w:rPr>
        <w:t>Ajuste SIN</w:t>
      </w:r>
      <w:r w:rsidR="00FA5992">
        <w:rPr>
          <w:rFonts w:ascii="Times New Roman" w:hAnsi="Times New Roman" w:cs="Times New Roman"/>
          <w:sz w:val="24"/>
          <w:szCs w:val="24"/>
          <w:lang w:eastAsia="pt-BR"/>
        </w:rPr>
        <w:t xml:space="preserve">IEF 01/19, efeitos a partir de </w:t>
      </w:r>
      <w:r w:rsidRPr="00FA593A">
        <w:rPr>
          <w:rFonts w:ascii="Times New Roman" w:hAnsi="Times New Roman" w:cs="Times New Roman"/>
          <w:sz w:val="24"/>
          <w:szCs w:val="24"/>
          <w:lang w:eastAsia="pt-BR"/>
        </w:rPr>
        <w:t>1</w:t>
      </w:r>
      <w:r w:rsidR="00FA5992">
        <w:rPr>
          <w:rFonts w:ascii="Times New Roman" w:hAnsi="Times New Roman" w:cs="Times New Roman"/>
          <w:sz w:val="24"/>
          <w:szCs w:val="24"/>
          <w:lang w:eastAsia="pt-BR"/>
        </w:rPr>
        <w:t>º de julho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E178C6" w:rsidRDefault="00FA593A" w:rsidP="00B37427">
      <w:pPr>
        <w:pStyle w:val="SemEspaamento"/>
        <w:ind w:firstLine="567"/>
        <w:jc w:val="center"/>
        <w:rPr>
          <w:rFonts w:ascii="Times New Roman" w:hAnsi="Times New Roman" w:cs="Times New Roman"/>
          <w:b/>
          <w:sz w:val="24"/>
          <w:szCs w:val="24"/>
          <w:lang w:eastAsia="pt-BR"/>
        </w:rPr>
      </w:pPr>
      <w:r w:rsidRPr="00E178C6">
        <w:rPr>
          <w:rFonts w:ascii="Times New Roman" w:hAnsi="Times New Roman" w:cs="Times New Roman"/>
          <w:b/>
          <w:sz w:val="24"/>
          <w:szCs w:val="24"/>
          <w:lang w:eastAsia="pt-BR"/>
        </w:rPr>
        <w:t>“SEÇÃO IX-A</w:t>
      </w:r>
    </w:p>
    <w:p w:rsidR="00E178C6" w:rsidRPr="00E178C6" w:rsidRDefault="00E178C6" w:rsidP="00B37427">
      <w:pPr>
        <w:pStyle w:val="SemEspaamento"/>
        <w:ind w:firstLine="567"/>
        <w:jc w:val="center"/>
        <w:rPr>
          <w:rFonts w:ascii="Times New Roman" w:hAnsi="Times New Roman" w:cs="Times New Roman"/>
          <w:b/>
          <w:sz w:val="24"/>
          <w:szCs w:val="24"/>
          <w:lang w:eastAsia="pt-BR"/>
        </w:rPr>
      </w:pPr>
    </w:p>
    <w:p w:rsidR="00FA593A" w:rsidRPr="00E178C6" w:rsidRDefault="00FA593A" w:rsidP="00FA593A">
      <w:pPr>
        <w:pStyle w:val="SemEspaamento"/>
        <w:ind w:firstLine="567"/>
        <w:jc w:val="both"/>
        <w:rPr>
          <w:rFonts w:ascii="Times New Roman" w:hAnsi="Times New Roman" w:cs="Times New Roman"/>
          <w:b/>
          <w:sz w:val="24"/>
          <w:szCs w:val="24"/>
          <w:lang w:eastAsia="pt-BR"/>
        </w:rPr>
      </w:pPr>
      <w:r w:rsidRPr="00E178C6">
        <w:rPr>
          <w:rFonts w:ascii="Times New Roman" w:hAnsi="Times New Roman" w:cs="Times New Roman"/>
          <w:b/>
          <w:sz w:val="24"/>
          <w:szCs w:val="24"/>
          <w:lang w:eastAsia="pt-BR"/>
        </w:rPr>
        <w:t>DA NOTA FISCAL DE ENERGIA ELÉTRICA ELETRÔNICA - NF3E, MODELO 66, E DO DOCUMENTO AUXILIAR DA NOTA FISCAL DE ENERG</w:t>
      </w:r>
      <w:r w:rsidR="00E178C6">
        <w:rPr>
          <w:rFonts w:ascii="Times New Roman" w:hAnsi="Times New Roman" w:cs="Times New Roman"/>
          <w:b/>
          <w:sz w:val="24"/>
          <w:szCs w:val="24"/>
          <w:lang w:eastAsia="pt-BR"/>
        </w:rPr>
        <w:t>IA ELÉTRICA ELETRÔNICA - DANF3E</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Art. 100-A. Os estabelecimentos fornecedores de energia elétrica emitirão a Nota Fiscal de Energia Elétrica Eletrônica - NF3e, modelo 66, e o Documento Auxiliar da Nota Fiscal de Energia Elétrica </w:t>
      </w:r>
      <w:r w:rsidR="00E178C6">
        <w:rPr>
          <w:rFonts w:ascii="Times New Roman" w:hAnsi="Times New Roman" w:cs="Times New Roman"/>
          <w:sz w:val="24"/>
          <w:szCs w:val="24"/>
          <w:lang w:eastAsia="pt-BR"/>
        </w:rPr>
        <w:t>Eletrônica -</w:t>
      </w:r>
      <w:r w:rsidRPr="00FA593A">
        <w:rPr>
          <w:rFonts w:ascii="Times New Roman" w:hAnsi="Times New Roman" w:cs="Times New Roman"/>
          <w:sz w:val="24"/>
          <w:szCs w:val="24"/>
          <w:lang w:eastAsia="pt-BR"/>
        </w:rPr>
        <w:t xml:space="preserve"> DANF3E, em substituição à Nota Fiscal/Conta de Energia Elétrica, modelo 6, nos termos do Ajuste SINIEF 01/19.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100-B. Para emissão da NF3e, o contribuinte deve estar previamente credenciado no CAD/ICMS-RO</w:t>
      </w:r>
      <w:r w:rsidR="00E178C6">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cadastro de contribuintes do ICMS do Estado de Rondônia.</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Parágrafo único. O c</w:t>
      </w:r>
      <w:r w:rsidR="001210DD">
        <w:rPr>
          <w:rFonts w:ascii="Times New Roman" w:hAnsi="Times New Roman" w:cs="Times New Roman"/>
          <w:sz w:val="24"/>
          <w:szCs w:val="24"/>
          <w:lang w:eastAsia="pt-BR"/>
        </w:rPr>
        <w:t xml:space="preserve">redenciamento a que se refere o </w:t>
      </w:r>
      <w:r w:rsidRPr="00E178C6">
        <w:rPr>
          <w:rFonts w:ascii="Times New Roman" w:hAnsi="Times New Roman" w:cs="Times New Roman"/>
          <w:iCs/>
          <w:sz w:val="24"/>
          <w:szCs w:val="24"/>
          <w:lang w:eastAsia="pt-BR"/>
        </w:rPr>
        <w:t>caput</w:t>
      </w:r>
      <w:r w:rsidR="001210DD">
        <w:rPr>
          <w:rFonts w:ascii="Times New Roman" w:hAnsi="Times New Roman" w:cs="Times New Roman"/>
          <w:sz w:val="24"/>
          <w:szCs w:val="24"/>
          <w:lang w:eastAsia="pt-BR"/>
        </w:rPr>
        <w:t xml:space="preserve"> </w:t>
      </w:r>
      <w:r w:rsidRPr="00FA593A">
        <w:rPr>
          <w:rFonts w:ascii="Times New Roman" w:hAnsi="Times New Roman" w:cs="Times New Roman"/>
          <w:sz w:val="24"/>
          <w:szCs w:val="24"/>
          <w:lang w:eastAsia="pt-BR"/>
        </w:rPr>
        <w:t>pode ser:</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 - voluntário, quando solicitado pelo contribuinte;</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II - de ofício, quando efetuado pela administração </w:t>
      </w:r>
      <w:r w:rsidR="000B31B4" w:rsidRPr="00FA593A">
        <w:rPr>
          <w:rFonts w:ascii="Times New Roman" w:hAnsi="Times New Roman" w:cs="Times New Roman"/>
          <w:sz w:val="24"/>
          <w:szCs w:val="24"/>
          <w:lang w:eastAsia="pt-BR"/>
        </w:rPr>
        <w:t>tributária. ”</w:t>
      </w:r>
      <w:r w:rsidRPr="00FA593A">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IV - os códigos a seguir enumerados, com as respectivas Notas Explicativas, ao Capítulo III do Anexo </w:t>
      </w:r>
      <w:r w:rsidR="00F03A58">
        <w:rPr>
          <w:rFonts w:ascii="Times New Roman" w:hAnsi="Times New Roman" w:cs="Times New Roman"/>
          <w:sz w:val="24"/>
          <w:szCs w:val="24"/>
          <w:lang w:eastAsia="pt-BR"/>
        </w:rPr>
        <w:t xml:space="preserve">XV, com as seguintes redações - </w:t>
      </w:r>
      <w:r w:rsidRPr="00FA593A">
        <w:rPr>
          <w:rFonts w:ascii="Times New Roman" w:hAnsi="Times New Roman" w:cs="Times New Roman"/>
          <w:sz w:val="24"/>
          <w:szCs w:val="24"/>
          <w:lang w:eastAsia="pt-BR"/>
        </w:rPr>
        <w:t>Ajuste SIN</w:t>
      </w:r>
      <w:r w:rsidR="00FA5992">
        <w:rPr>
          <w:rFonts w:ascii="Times New Roman" w:hAnsi="Times New Roman" w:cs="Times New Roman"/>
          <w:sz w:val="24"/>
          <w:szCs w:val="24"/>
          <w:lang w:eastAsia="pt-BR"/>
        </w:rPr>
        <w:t xml:space="preserve">IEF 07/19, efeitos a partir de </w:t>
      </w:r>
      <w:r w:rsidRPr="00FA593A">
        <w:rPr>
          <w:rFonts w:ascii="Times New Roman" w:hAnsi="Times New Roman" w:cs="Times New Roman"/>
          <w:sz w:val="24"/>
          <w:szCs w:val="24"/>
          <w:lang w:eastAsia="pt-BR"/>
        </w:rPr>
        <w:t>1</w:t>
      </w:r>
      <w:r w:rsidR="00FA5992">
        <w:rPr>
          <w:rFonts w:ascii="Times New Roman" w:hAnsi="Times New Roman" w:cs="Times New Roman"/>
          <w:sz w:val="24"/>
          <w:szCs w:val="24"/>
          <w:lang w:eastAsia="pt-BR"/>
        </w:rPr>
        <w:t>º de maio de 20</w:t>
      </w:r>
      <w:r w:rsidRPr="00FA593A">
        <w:rPr>
          <w:rFonts w:ascii="Times New Roman" w:hAnsi="Times New Roman" w:cs="Times New Roman"/>
          <w:sz w:val="24"/>
          <w:szCs w:val="24"/>
          <w:lang w:eastAsia="pt-BR"/>
        </w:rPr>
        <w:t>19</w:t>
      </w:r>
      <w:r w:rsidR="00F03A58">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 1.215 e 1.216:</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“1.215 - Devolução de fornecimento de produção do estabelecimento de ato cooperativo</w:t>
      </w:r>
      <w:r w:rsidR="000B31B4">
        <w:rPr>
          <w:rFonts w:ascii="Times New Roman" w:hAnsi="Times New Roman" w:cs="Times New Roman"/>
          <w:sz w:val="24"/>
          <w:szCs w:val="24"/>
          <w:lang w:eastAsia="pt-BR"/>
        </w:rPr>
        <w:t>.</w:t>
      </w:r>
    </w:p>
    <w:p w:rsidR="000B31B4" w:rsidRDefault="000B31B4"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Classificam-se neste código as devoluções de fornecimentos de produtos industrializados ou produzidos pelo próprio estabelecimento de cooperativa destinados a seus cooperados ou a estabelecimento de outra cooperativa, cujas saídas tenham sido</w:t>
      </w:r>
      <w:r w:rsidR="006E2574">
        <w:rPr>
          <w:rFonts w:ascii="Times New Roman" w:hAnsi="Times New Roman" w:cs="Times New Roman"/>
          <w:sz w:val="24"/>
          <w:szCs w:val="24"/>
          <w:lang w:eastAsia="pt-BR"/>
        </w:rPr>
        <w:t xml:space="preserve"> classificadas no código 5.159 -</w:t>
      </w:r>
      <w:r w:rsidRPr="00FA593A">
        <w:rPr>
          <w:rFonts w:ascii="Times New Roman" w:hAnsi="Times New Roman" w:cs="Times New Roman"/>
          <w:sz w:val="24"/>
          <w:szCs w:val="24"/>
          <w:lang w:eastAsia="pt-BR"/>
        </w:rPr>
        <w:t xml:space="preserve"> Fornecimento de produção do estabel</w:t>
      </w:r>
      <w:r w:rsidR="000B31B4">
        <w:rPr>
          <w:rFonts w:ascii="Times New Roman" w:hAnsi="Times New Roman" w:cs="Times New Roman"/>
          <w:sz w:val="24"/>
          <w:szCs w:val="24"/>
          <w:lang w:eastAsia="pt-BR"/>
        </w:rPr>
        <w:t>ecimento de ato cooperativo;</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1.216 - Devolução de fornecimento de mercadoria adquirida ou recebida de terceiros de ato cooperativo</w:t>
      </w:r>
      <w:r w:rsidR="000B31B4">
        <w:rPr>
          <w:rFonts w:ascii="Times New Roman" w:hAnsi="Times New Roman" w:cs="Times New Roman"/>
          <w:sz w:val="24"/>
          <w:szCs w:val="24"/>
          <w:lang w:eastAsia="pt-BR"/>
        </w:rPr>
        <w:t>.</w:t>
      </w:r>
    </w:p>
    <w:p w:rsidR="000B31B4" w:rsidRDefault="000B31B4"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Classificam-se neste código as devoluções de fornecimentos de mercadorias adquiridas ou recebidas de terceiros, que não tenham sido objeto de qualquer processo industrial no estabelecimento de cooperativa, destinados a seus cooperados ou a estabelecimento de outra cooperativa, cujas saídas tenham sido</w:t>
      </w:r>
      <w:r w:rsidR="001210DD">
        <w:rPr>
          <w:rFonts w:ascii="Times New Roman" w:hAnsi="Times New Roman" w:cs="Times New Roman"/>
          <w:sz w:val="24"/>
          <w:szCs w:val="24"/>
          <w:lang w:eastAsia="pt-BR"/>
        </w:rPr>
        <w:t xml:space="preserve"> </w:t>
      </w:r>
      <w:r w:rsidR="001210DD">
        <w:rPr>
          <w:rFonts w:ascii="Times New Roman" w:hAnsi="Times New Roman" w:cs="Times New Roman"/>
          <w:sz w:val="24"/>
          <w:szCs w:val="24"/>
          <w:lang w:eastAsia="pt-BR"/>
        </w:rPr>
        <w:lastRenderedPageBreak/>
        <w:t>classificadas no código 5.160 -</w:t>
      </w:r>
      <w:r w:rsidRPr="00FA593A">
        <w:rPr>
          <w:rFonts w:ascii="Times New Roman" w:hAnsi="Times New Roman" w:cs="Times New Roman"/>
          <w:sz w:val="24"/>
          <w:szCs w:val="24"/>
          <w:lang w:eastAsia="pt-BR"/>
        </w:rPr>
        <w:t xml:space="preserve"> Fornecimento de mercadoria adquirida ou recebida de terceiros de ato cooperativo.”;</w:t>
      </w:r>
    </w:p>
    <w:p w:rsidR="006E2574" w:rsidRDefault="006E2574"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b) 2.215 e 2.216:</w:t>
      </w:r>
    </w:p>
    <w:p w:rsidR="00913DF3" w:rsidRDefault="00913DF3"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“2.215 - Devolução de fornecimento de produção do estabelecimento de ato cooperativo</w:t>
      </w:r>
      <w:r w:rsidR="000B31B4">
        <w:rPr>
          <w:rFonts w:ascii="Times New Roman" w:hAnsi="Times New Roman" w:cs="Times New Roman"/>
          <w:sz w:val="24"/>
          <w:szCs w:val="24"/>
          <w:lang w:eastAsia="pt-BR"/>
        </w:rPr>
        <w:t>.</w:t>
      </w:r>
    </w:p>
    <w:p w:rsidR="000B31B4" w:rsidRDefault="000B31B4"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Classificam-se neste código as devoluções de fornecimentos de produtos industrializados ou produzidos pelo próprio estabelecimento de cooperativa destinados a seus cooperados ou a estabelecimento de outra cooperativa, cujas saídas tenham sido classificadas no código 6.159 </w:t>
      </w:r>
      <w:r w:rsidR="00F44088">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 xml:space="preserve"> Fornecimento de produção do estabelecimento de ato cooperativo.</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2.216 - Devolução de fornecimento de mercadoria adquirida ou recebida de terceiros de ato cooperativo</w:t>
      </w:r>
      <w:r w:rsidR="000B31B4">
        <w:rPr>
          <w:rFonts w:ascii="Times New Roman" w:hAnsi="Times New Roman" w:cs="Times New Roman"/>
          <w:sz w:val="24"/>
          <w:szCs w:val="24"/>
          <w:lang w:eastAsia="pt-BR"/>
        </w:rPr>
        <w:t>.</w:t>
      </w:r>
    </w:p>
    <w:p w:rsidR="00E178C6" w:rsidRDefault="00E178C6"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Classificam-se neste código as devoluções de fornecimentos de mercadorias adquiridas ou recebidas de terceiros, que não tenham sido objeto de qualquer processo industrial no estabelecimento de cooperativa, destinados a seus cooperados ou a estabelecimento de outra cooperativa, cujas saídas tenham sido classificadas no código 6.160 </w:t>
      </w:r>
      <w:r w:rsidR="00E178C6">
        <w:rPr>
          <w:rFonts w:ascii="Times New Roman" w:hAnsi="Times New Roman" w:cs="Times New Roman"/>
          <w:sz w:val="24"/>
          <w:szCs w:val="24"/>
          <w:lang w:eastAsia="pt-BR"/>
        </w:rPr>
        <w:t>-</w:t>
      </w:r>
      <w:r w:rsidRPr="00FA593A">
        <w:rPr>
          <w:rFonts w:ascii="Times New Roman" w:hAnsi="Times New Roman" w:cs="Times New Roman"/>
          <w:sz w:val="24"/>
          <w:szCs w:val="24"/>
          <w:lang w:eastAsia="pt-BR"/>
        </w:rPr>
        <w:t xml:space="preserve"> Fornecimento de mercadoria adquirida ou recebida de terceiros de ato cooperativo.”;</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 5.216:</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“5.216 - Devolução de entrada decorrente do fornecimento de produto ou mercadoria de ato cooperativo</w:t>
      </w:r>
      <w:r w:rsidR="000B31B4">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Classificam-se neste código as devoluções de entradas decorrentes de fornecimento de produtos ou mercadorias por estabelecimento de cooperativa destinados a seus cooperados ou a estabelecimento de outra cooperativa, cujo fornecimento tenha sid</w:t>
      </w:r>
      <w:r w:rsidR="006E2574">
        <w:rPr>
          <w:rFonts w:ascii="Times New Roman" w:hAnsi="Times New Roman" w:cs="Times New Roman"/>
          <w:sz w:val="24"/>
          <w:szCs w:val="24"/>
          <w:lang w:eastAsia="pt-BR"/>
        </w:rPr>
        <w:t>o classificado no código 1.159 -</w:t>
      </w:r>
      <w:r w:rsidRPr="00FA593A">
        <w:rPr>
          <w:rFonts w:ascii="Times New Roman" w:hAnsi="Times New Roman" w:cs="Times New Roman"/>
          <w:sz w:val="24"/>
          <w:szCs w:val="24"/>
          <w:lang w:eastAsia="pt-BR"/>
        </w:rPr>
        <w:t xml:space="preserve"> Entrada decorrente do fornecimento de produto ou mercadoria de ato cooperativo.”;</w:t>
      </w:r>
      <w:r w:rsidR="006E2574">
        <w:rPr>
          <w:rFonts w:ascii="Times New Roman" w:hAnsi="Times New Roman" w:cs="Times New Roman"/>
          <w:sz w:val="24"/>
          <w:szCs w:val="24"/>
          <w:lang w:eastAsia="pt-BR"/>
        </w:rPr>
        <w:t xml:space="preserve"> e</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d) 6.216:</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“6.216 - Devolução de entrada decorrente do fornecimento de produto ou mercadoria de ato cooperativo</w:t>
      </w:r>
      <w:r w:rsidR="000B31B4">
        <w:rPr>
          <w:rFonts w:ascii="Times New Roman" w:hAnsi="Times New Roman" w:cs="Times New Roman"/>
          <w:sz w:val="24"/>
          <w:szCs w:val="24"/>
          <w:lang w:eastAsia="pt-BR"/>
        </w:rPr>
        <w:t>.</w:t>
      </w:r>
    </w:p>
    <w:p w:rsidR="000B31B4" w:rsidRDefault="000B31B4"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Classificam-se neste código as devoluções de entradas decorrentes de fornecimento de produtos ou mercadorias por estabelecimento de cooperativa destinados a seus cooperados ou a estabelecimento de outra cooperativa, cujo fornecimento tenha sido classificado no código 2.159 – Entrada decorrente do fornecimento de produto ou </w:t>
      </w:r>
      <w:r w:rsidR="006E2574">
        <w:rPr>
          <w:rFonts w:ascii="Times New Roman" w:hAnsi="Times New Roman" w:cs="Times New Roman"/>
          <w:sz w:val="24"/>
          <w:szCs w:val="24"/>
          <w:lang w:eastAsia="pt-BR"/>
        </w:rPr>
        <w:t>mercadoria de ato cooperativo.”.</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1210DD" w:rsidP="00FA593A">
      <w:pPr>
        <w:pStyle w:val="SemEspaamento"/>
        <w:ind w:firstLine="567"/>
        <w:jc w:val="both"/>
        <w:rPr>
          <w:rFonts w:ascii="Times New Roman" w:hAnsi="Times New Roman" w:cs="Times New Roman"/>
          <w:sz w:val="24"/>
          <w:szCs w:val="24"/>
          <w:lang w:eastAsia="pt-BR"/>
        </w:rPr>
      </w:pPr>
      <w:r>
        <w:rPr>
          <w:rFonts w:ascii="Times New Roman" w:hAnsi="Times New Roman" w:cs="Times New Roman"/>
          <w:sz w:val="24"/>
          <w:szCs w:val="24"/>
          <w:lang w:eastAsia="pt-BR"/>
        </w:rPr>
        <w:t xml:space="preserve">V </w:t>
      </w:r>
      <w:r>
        <w:rPr>
          <w:rFonts w:ascii="Times New Roman" w:hAnsi="Times New Roman" w:cs="Times New Roman"/>
          <w:b/>
          <w:bCs/>
          <w:sz w:val="24"/>
          <w:szCs w:val="24"/>
          <w:lang w:eastAsia="pt-BR"/>
        </w:rPr>
        <w:t xml:space="preserve">- </w:t>
      </w:r>
      <w:r w:rsidR="00F03A58">
        <w:rPr>
          <w:rFonts w:ascii="Times New Roman" w:hAnsi="Times New Roman" w:cs="Times New Roman"/>
          <w:sz w:val="24"/>
          <w:szCs w:val="24"/>
          <w:lang w:eastAsia="pt-BR"/>
        </w:rPr>
        <w:t xml:space="preserve">o artigo 365-A ao Anexo X - </w:t>
      </w:r>
      <w:r w:rsidR="00FA593A" w:rsidRPr="00FA593A">
        <w:rPr>
          <w:rFonts w:ascii="Times New Roman" w:hAnsi="Times New Roman" w:cs="Times New Roman"/>
          <w:sz w:val="24"/>
          <w:szCs w:val="24"/>
          <w:lang w:eastAsia="pt-BR"/>
        </w:rPr>
        <w:t>Convênio I</w:t>
      </w:r>
      <w:r w:rsidR="000B31B4">
        <w:rPr>
          <w:rFonts w:ascii="Times New Roman" w:hAnsi="Times New Roman" w:cs="Times New Roman"/>
          <w:sz w:val="24"/>
          <w:szCs w:val="24"/>
          <w:lang w:eastAsia="pt-BR"/>
        </w:rPr>
        <w:t xml:space="preserve">CMS 20/19, efeitos a partir de </w:t>
      </w:r>
      <w:r w:rsidR="00FA593A" w:rsidRPr="00FA593A">
        <w:rPr>
          <w:rFonts w:ascii="Times New Roman" w:hAnsi="Times New Roman" w:cs="Times New Roman"/>
          <w:sz w:val="24"/>
          <w:szCs w:val="24"/>
          <w:lang w:eastAsia="pt-BR"/>
        </w:rPr>
        <w:t>1</w:t>
      </w:r>
      <w:r w:rsidR="000B31B4">
        <w:rPr>
          <w:rFonts w:ascii="Times New Roman" w:hAnsi="Times New Roman" w:cs="Times New Roman"/>
          <w:sz w:val="24"/>
          <w:szCs w:val="24"/>
          <w:lang w:eastAsia="pt-BR"/>
        </w:rPr>
        <w:t>º de maio de 20</w:t>
      </w:r>
      <w:r w:rsidR="00F03A58">
        <w:rPr>
          <w:rFonts w:ascii="Times New Roman" w:hAnsi="Times New Roman" w:cs="Times New Roman"/>
          <w:sz w:val="24"/>
          <w:szCs w:val="24"/>
          <w:lang w:eastAsia="pt-BR"/>
        </w:rPr>
        <w:t>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lastRenderedPageBreak/>
        <w:t xml:space="preserve">“Art. 365-A. Na definição da metodologia da pesquisa a ser efetuada para fixação da MVA, do PMPF e do preço </w:t>
      </w:r>
      <w:r w:rsidR="00E178C6" w:rsidRPr="00FA593A">
        <w:rPr>
          <w:rFonts w:ascii="Times New Roman" w:hAnsi="Times New Roman" w:cs="Times New Roman"/>
          <w:sz w:val="24"/>
          <w:szCs w:val="24"/>
          <w:lang w:eastAsia="pt-BR"/>
        </w:rPr>
        <w:t>ao</w:t>
      </w:r>
      <w:r w:rsidRPr="00FA593A">
        <w:rPr>
          <w:rFonts w:ascii="Times New Roman" w:hAnsi="Times New Roman" w:cs="Times New Roman"/>
          <w:sz w:val="24"/>
          <w:szCs w:val="24"/>
          <w:lang w:eastAsia="pt-BR"/>
        </w:rPr>
        <w:t xml:space="preserve"> consumidor final usualmente praticado no mercado, deverão ser observados os seguintes critérios, dentre outros que poderão ser necessários face à peculiaridade do produto:</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 - identificação do produto, observando suas características particulares, tais como: tipo, espécie e unidade de medida;</w:t>
      </w:r>
    </w:p>
    <w:p w:rsidR="00AE3FDF" w:rsidRPr="00FA593A" w:rsidRDefault="00AE3FDF"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 - preço de venda à vista no estabelecimento fabricante ou importador, incluindo o IPI, frete, seguro, e demais despesas cobradas do destinatário, excluído o valor do ICMS relativo à substituição tributária;</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III - preço de venda à vista no estabelecimento atacadista, incluindo o frete, seguro e demais despesas cobradas do destinatário, excluído o valor do ICMS relativo à substituição tributária;</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IV - preço de venda </w:t>
      </w:r>
      <w:r w:rsidR="00AE3FDF">
        <w:rPr>
          <w:rFonts w:ascii="Times New Roman" w:hAnsi="Times New Roman" w:cs="Times New Roman"/>
          <w:sz w:val="24"/>
          <w:szCs w:val="24"/>
          <w:lang w:eastAsia="pt-BR"/>
        </w:rPr>
        <w:t>à</w:t>
      </w:r>
      <w:r w:rsidRPr="00FA593A">
        <w:rPr>
          <w:rFonts w:ascii="Times New Roman" w:hAnsi="Times New Roman" w:cs="Times New Roman"/>
          <w:sz w:val="24"/>
          <w:szCs w:val="24"/>
          <w:lang w:eastAsia="pt-BR"/>
        </w:rPr>
        <w:t xml:space="preserve"> vista no varejo, incluindo o frete, seguro e demais despesas cobradas do adquirente;</w:t>
      </w:r>
      <w:r w:rsidR="000B31B4">
        <w:rPr>
          <w:rFonts w:ascii="Times New Roman" w:hAnsi="Times New Roman" w:cs="Times New Roman"/>
          <w:sz w:val="24"/>
          <w:szCs w:val="24"/>
          <w:lang w:eastAsia="pt-BR"/>
        </w:rPr>
        <w:t xml:space="preserve"> e</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V - não serão considerados os preços de promoção, bem como aqueles submetidos a qualquer tipo de comercialização privilegiada.</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1º. A pesquisa efetivar-se-á por levantamento a ser realizado pelo sistema de amostra</w:t>
      </w:r>
      <w:r w:rsidR="000B31B4">
        <w:rPr>
          <w:rFonts w:ascii="Times New Roman" w:hAnsi="Times New Roman" w:cs="Times New Roman"/>
          <w:sz w:val="24"/>
          <w:szCs w:val="24"/>
          <w:lang w:eastAsia="pt-BR"/>
        </w:rPr>
        <w:t>gem nos setores envolvidos;</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2º. A pesquisa, sempre que possível, considerará o preço de mercadoria cuja venda no varejo tenha ocorrido em período inferior a 30</w:t>
      </w:r>
      <w:r w:rsidR="000B31B4">
        <w:rPr>
          <w:rFonts w:ascii="Times New Roman" w:hAnsi="Times New Roman" w:cs="Times New Roman"/>
          <w:sz w:val="24"/>
          <w:szCs w:val="24"/>
          <w:lang w:eastAsia="pt-BR"/>
        </w:rPr>
        <w:t xml:space="preserve"> (trinta)</w:t>
      </w:r>
      <w:r w:rsidRPr="00FA593A">
        <w:rPr>
          <w:rFonts w:ascii="Times New Roman" w:hAnsi="Times New Roman" w:cs="Times New Roman"/>
          <w:sz w:val="24"/>
          <w:szCs w:val="24"/>
          <w:lang w:eastAsia="pt-BR"/>
        </w:rPr>
        <w:t xml:space="preserve"> dias após a sua saída do estabelecimento fabri</w:t>
      </w:r>
      <w:r w:rsidR="000B31B4">
        <w:rPr>
          <w:rFonts w:ascii="Times New Roman" w:hAnsi="Times New Roman" w:cs="Times New Roman"/>
          <w:sz w:val="24"/>
          <w:szCs w:val="24"/>
          <w:lang w:eastAsia="pt-BR"/>
        </w:rPr>
        <w:t>cante, importador ou atacadista; e</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3º. As informações resultantes da pesquisa deverão conter os dados cadastrais dos estabelecimentos pesquisados, as respectivas datas das coletas de preços e demais elementos suficientes para demonstrar a veracidade dos valores obtidos.”</w:t>
      </w:r>
      <w:bookmarkStart w:id="0" w:name="_Hlk7165902"/>
      <w:bookmarkEnd w:id="0"/>
      <w:r w:rsidR="00E178C6">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3º. Ficam prorrogados, até 30 de abril de 2020, os benefícios fiscais adiante enumerados, previstos no RICMS/RO, aprovado pelo Decreto n</w:t>
      </w:r>
      <w:r w:rsidR="00E178C6">
        <w:rPr>
          <w:rFonts w:ascii="Times New Roman" w:hAnsi="Times New Roman" w:cs="Times New Roman"/>
          <w:sz w:val="24"/>
          <w:szCs w:val="24"/>
          <w:lang w:eastAsia="pt-BR"/>
        </w:rPr>
        <w:t>º</w:t>
      </w:r>
      <w:r w:rsidRPr="00FA593A">
        <w:rPr>
          <w:rFonts w:ascii="Times New Roman" w:hAnsi="Times New Roman" w:cs="Times New Roman"/>
          <w:sz w:val="24"/>
          <w:szCs w:val="24"/>
          <w:lang w:eastAsia="pt-BR"/>
        </w:rPr>
        <w:t xml:space="preserve"> </w:t>
      </w:r>
      <w:r w:rsidR="00F03A58">
        <w:rPr>
          <w:rFonts w:ascii="Times New Roman" w:hAnsi="Times New Roman" w:cs="Times New Roman"/>
          <w:sz w:val="24"/>
          <w:szCs w:val="24"/>
          <w:lang w:eastAsia="pt-BR"/>
        </w:rPr>
        <w:t xml:space="preserve">22.721, de 5 de abril de 2018 - </w:t>
      </w:r>
      <w:r w:rsidRPr="00FA593A">
        <w:rPr>
          <w:rFonts w:ascii="Times New Roman" w:hAnsi="Times New Roman" w:cs="Times New Roman"/>
          <w:sz w:val="24"/>
          <w:szCs w:val="24"/>
          <w:lang w:eastAsia="pt-BR"/>
        </w:rPr>
        <w:t>Convênio ICMS 28/19, efeitos a partir de 24</w:t>
      </w:r>
      <w:r w:rsidR="00F03A58">
        <w:rPr>
          <w:rFonts w:ascii="Times New Roman" w:hAnsi="Times New Roman" w:cs="Times New Roman"/>
          <w:sz w:val="24"/>
          <w:szCs w:val="24"/>
          <w:lang w:eastAsia="pt-BR"/>
        </w:rPr>
        <w:t xml:space="preserve"> de abril de 2019:</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 - o item 03 da Parte 3 do Anexo II, que reduz a base de cálculo do ICMS nas saídas dos insumos agropecuários relaci</w:t>
      </w:r>
      <w:r w:rsidR="00F03A58">
        <w:rPr>
          <w:rFonts w:ascii="Times New Roman" w:hAnsi="Times New Roman" w:cs="Times New Roman"/>
          <w:sz w:val="24"/>
          <w:szCs w:val="24"/>
          <w:lang w:eastAsia="pt-BR"/>
        </w:rPr>
        <w:t>onados na Tabela 3 da Parte 5 - Convênio ICMS 100/97;</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 - o item 04 da Parte 3 do Anexo II, que reduz a base de cálculo do ICMS nas saídas dos insumos agropecuários relaci</w:t>
      </w:r>
      <w:r w:rsidR="00F03A58">
        <w:rPr>
          <w:rFonts w:ascii="Times New Roman" w:hAnsi="Times New Roman" w:cs="Times New Roman"/>
          <w:sz w:val="24"/>
          <w:szCs w:val="24"/>
          <w:lang w:eastAsia="pt-BR"/>
        </w:rPr>
        <w:t>onados na Tabela 4 da Parte 5 - Convênio ICMS 100/97;</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III - o item 05 da Parte 3 do Anexo II, que dispõe sobre a concessão de redução na base de cálculo do ICMS devido na</w:t>
      </w:r>
      <w:r w:rsidR="00F03A58">
        <w:rPr>
          <w:rFonts w:ascii="Times New Roman" w:hAnsi="Times New Roman" w:cs="Times New Roman"/>
          <w:sz w:val="24"/>
          <w:szCs w:val="24"/>
          <w:lang w:eastAsia="pt-BR"/>
        </w:rPr>
        <w:t>s saídas de biodiesel (B-100) - Convênio ICMS 113/06;</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IV - o item 09 da Parte 3 do Anexo II, que concede redução de base de cálculo do ICMS nas operações internas com querosene de aviaç</w:t>
      </w:r>
      <w:r w:rsidR="00E178C6">
        <w:rPr>
          <w:rFonts w:ascii="Times New Roman" w:hAnsi="Times New Roman" w:cs="Times New Roman"/>
          <w:sz w:val="24"/>
          <w:szCs w:val="24"/>
          <w:lang w:eastAsia="pt-BR"/>
        </w:rPr>
        <w:t xml:space="preserve">ão - QAV e gasolina de aviação </w:t>
      </w:r>
      <w:r w:rsidR="00F03A58">
        <w:rPr>
          <w:rFonts w:ascii="Times New Roman" w:hAnsi="Times New Roman" w:cs="Times New Roman"/>
          <w:sz w:val="24"/>
          <w:szCs w:val="24"/>
          <w:lang w:eastAsia="pt-BR"/>
        </w:rPr>
        <w:t xml:space="preserve">- GAV - </w:t>
      </w:r>
      <w:r w:rsidRPr="00FA593A">
        <w:rPr>
          <w:rFonts w:ascii="Times New Roman" w:hAnsi="Times New Roman" w:cs="Times New Roman"/>
          <w:sz w:val="24"/>
          <w:szCs w:val="24"/>
          <w:lang w:eastAsia="pt-BR"/>
        </w:rPr>
        <w:t>Convênio ICMS 73/16</w:t>
      </w:r>
      <w:r w:rsidR="00F03A58">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xml:space="preserve">V - o item 18 da Parte 3 do Anexo I, que isenta as operações internas com os produtos relacionados na Tabela 5 da Parte 5 destinados ao uso na agricultura e na </w:t>
      </w:r>
      <w:r w:rsidR="00F03A58">
        <w:rPr>
          <w:rFonts w:ascii="Times New Roman" w:hAnsi="Times New Roman" w:cs="Times New Roman"/>
          <w:sz w:val="24"/>
          <w:szCs w:val="24"/>
          <w:lang w:eastAsia="pt-BR"/>
        </w:rPr>
        <w:t>pecuária - Convênio ICMS 100/97;</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VI - o item 22 da Parte 3 do Anexo I, que concede isenção do ICMS às operações internas e interestaduais com automóveis de passageir</w:t>
      </w:r>
      <w:r w:rsidR="00F03A58">
        <w:rPr>
          <w:rFonts w:ascii="Times New Roman" w:hAnsi="Times New Roman" w:cs="Times New Roman"/>
          <w:sz w:val="24"/>
          <w:szCs w:val="24"/>
          <w:lang w:eastAsia="pt-BR"/>
        </w:rPr>
        <w:t>os, para utilização como táxi - Convênio ICMS 38/01;</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VII - o item 35 da Parte 3 do Anexo I, que concede isenção de ICMS na importação de máquinas, equipamentos, partes e acessórios destina</w:t>
      </w:r>
      <w:r w:rsidR="00F03A58">
        <w:rPr>
          <w:rFonts w:ascii="Times New Roman" w:hAnsi="Times New Roman" w:cs="Times New Roman"/>
          <w:sz w:val="24"/>
          <w:szCs w:val="24"/>
          <w:lang w:eastAsia="pt-BR"/>
        </w:rPr>
        <w:t xml:space="preserve">dos </w:t>
      </w:r>
      <w:r w:rsidR="00AE3FDF">
        <w:rPr>
          <w:rFonts w:ascii="Times New Roman" w:hAnsi="Times New Roman" w:cs="Times New Roman"/>
          <w:sz w:val="24"/>
          <w:szCs w:val="24"/>
          <w:lang w:eastAsia="pt-BR"/>
        </w:rPr>
        <w:t>à</w:t>
      </w:r>
      <w:r w:rsidR="00F03A58">
        <w:rPr>
          <w:rFonts w:ascii="Times New Roman" w:hAnsi="Times New Roman" w:cs="Times New Roman"/>
          <w:sz w:val="24"/>
          <w:szCs w:val="24"/>
          <w:lang w:eastAsia="pt-BR"/>
        </w:rPr>
        <w:t xml:space="preserve"> empresa de radiodifusão - </w:t>
      </w:r>
      <w:r w:rsidRPr="00FA593A">
        <w:rPr>
          <w:rFonts w:ascii="Times New Roman" w:hAnsi="Times New Roman" w:cs="Times New Roman"/>
          <w:sz w:val="24"/>
          <w:szCs w:val="24"/>
          <w:lang w:eastAsia="pt-BR"/>
        </w:rPr>
        <w:t>Convênio ICMS 10/07</w:t>
      </w:r>
      <w:r w:rsidR="00F03A58">
        <w:rPr>
          <w:rFonts w:ascii="Times New Roman" w:hAnsi="Times New Roman" w:cs="Times New Roman"/>
          <w:sz w:val="24"/>
          <w:szCs w:val="24"/>
          <w:lang w:eastAsia="pt-BR"/>
        </w:rPr>
        <w:t>;</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VIII - o item 37 da Parte 3 do Anexo I, que isenta do ICMS as operações com ônibus, micro-ônibus, e embarcações, adquiridos pelos Estados, Distrito Federal e Municípios, no âmbito do Programa Caminho da Escola, do</w:t>
      </w:r>
      <w:r w:rsidR="00F75586">
        <w:rPr>
          <w:rFonts w:ascii="Times New Roman" w:hAnsi="Times New Roman" w:cs="Times New Roman"/>
          <w:sz w:val="24"/>
          <w:szCs w:val="24"/>
          <w:lang w:eastAsia="pt-BR"/>
        </w:rPr>
        <w:t xml:space="preserve"> Ministério da Educação -</w:t>
      </w:r>
      <w:r w:rsidR="00F03A58">
        <w:rPr>
          <w:rFonts w:ascii="Times New Roman" w:hAnsi="Times New Roman" w:cs="Times New Roman"/>
          <w:sz w:val="24"/>
          <w:szCs w:val="24"/>
          <w:lang w:eastAsia="pt-BR"/>
        </w:rPr>
        <w:t xml:space="preserve"> MEC - Convênio ICMS 53/07;</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 </w:t>
      </w: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IX - o item 46 da Parte 3 do Anexo I, que concede isenção do ICMS nas saídas de veículos destinados a pessoas portadoras de deficiência física, visual, mental ou autista</w:t>
      </w:r>
      <w:r w:rsidR="00F03A58">
        <w:rPr>
          <w:rFonts w:ascii="Times New Roman" w:hAnsi="Times New Roman" w:cs="Times New Roman"/>
          <w:sz w:val="24"/>
          <w:szCs w:val="24"/>
          <w:lang w:eastAsia="pt-BR"/>
        </w:rPr>
        <w:t xml:space="preserve"> - </w:t>
      </w:r>
      <w:r w:rsidRPr="00FA593A">
        <w:rPr>
          <w:rFonts w:ascii="Times New Roman" w:hAnsi="Times New Roman" w:cs="Times New Roman"/>
          <w:sz w:val="24"/>
          <w:szCs w:val="24"/>
          <w:lang w:eastAsia="pt-BR"/>
        </w:rPr>
        <w:t>Convênio ICMS 38/12</w:t>
      </w:r>
      <w:r w:rsidR="00F03A58">
        <w:rPr>
          <w:rFonts w:ascii="Times New Roman" w:hAnsi="Times New Roman" w:cs="Times New Roman"/>
          <w:sz w:val="24"/>
          <w:szCs w:val="24"/>
          <w:lang w:eastAsia="pt-BR"/>
        </w:rPr>
        <w:t>; e</w:t>
      </w:r>
    </w:p>
    <w:p w:rsidR="00FA593A" w:rsidRPr="00FA593A" w:rsidRDefault="00FA593A" w:rsidP="00FA593A">
      <w:pPr>
        <w:pStyle w:val="SemEspaamento"/>
        <w:ind w:firstLine="567"/>
        <w:jc w:val="both"/>
        <w:rPr>
          <w:rFonts w:ascii="Times New Roman" w:hAnsi="Times New Roman" w:cs="Times New Roman"/>
          <w:sz w:val="24"/>
          <w:szCs w:val="24"/>
          <w:lang w:eastAsia="pt-BR"/>
        </w:rPr>
      </w:pPr>
    </w:p>
    <w:p w:rsidR="00FA593A" w:rsidRP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X - o item 01 da Parte 3 do Anexo IV, que dispõe sobre o aproveitamento dos valores pagos a título de direitos autorais, artísticos</w:t>
      </w:r>
      <w:r w:rsidR="00F03A58">
        <w:rPr>
          <w:rFonts w:ascii="Times New Roman" w:hAnsi="Times New Roman" w:cs="Times New Roman"/>
          <w:sz w:val="24"/>
          <w:szCs w:val="24"/>
          <w:lang w:eastAsia="pt-BR"/>
        </w:rPr>
        <w:t xml:space="preserve"> e conexos como crédito do ICMS - Convênio ICMS 23/90.</w:t>
      </w:r>
    </w:p>
    <w:p w:rsidR="00FA593A" w:rsidRDefault="00FA593A" w:rsidP="00FA593A">
      <w:pPr>
        <w:pStyle w:val="SemEspaamento"/>
        <w:ind w:firstLine="567"/>
        <w:jc w:val="both"/>
        <w:rPr>
          <w:rFonts w:ascii="Times New Roman" w:hAnsi="Times New Roman" w:cs="Times New Roman"/>
          <w:sz w:val="24"/>
          <w:szCs w:val="24"/>
          <w:lang w:eastAsia="pt-BR"/>
        </w:rPr>
      </w:pPr>
    </w:p>
    <w:p w:rsidR="00FA593A" w:rsidRDefault="00FA593A" w:rsidP="00FA593A">
      <w:pPr>
        <w:pStyle w:val="SemEspaamento"/>
        <w:ind w:firstLine="567"/>
        <w:jc w:val="both"/>
        <w:rPr>
          <w:rFonts w:ascii="Times New Roman" w:hAnsi="Times New Roman" w:cs="Times New Roman"/>
          <w:sz w:val="24"/>
          <w:szCs w:val="24"/>
          <w:lang w:eastAsia="pt-BR"/>
        </w:rPr>
      </w:pPr>
      <w:r w:rsidRPr="00FA593A">
        <w:rPr>
          <w:rFonts w:ascii="Times New Roman" w:hAnsi="Times New Roman" w:cs="Times New Roman"/>
          <w:sz w:val="24"/>
          <w:szCs w:val="24"/>
          <w:lang w:eastAsia="pt-BR"/>
        </w:rPr>
        <w:t>Art. 4º. Este Decreto entra em vigor na data de sua publicação, produzindo efeitos, em relação aos dispositivos que incorporam as normas aprovadas no âmbito da 172ª reunião ordinária do Conselho Nacional de Política Fazendária - CONFAZ, a partir da data de entrada em vigor dos Convênios ICMS e Ajustes SINIEF neles indicados.</w:t>
      </w:r>
    </w:p>
    <w:p w:rsidR="00E630C4" w:rsidRPr="00FA593A" w:rsidRDefault="00E630C4" w:rsidP="00FA593A">
      <w:pPr>
        <w:pStyle w:val="SemEspaamento"/>
        <w:ind w:firstLine="567"/>
        <w:jc w:val="both"/>
        <w:rPr>
          <w:rFonts w:ascii="Times New Roman" w:hAnsi="Times New Roman" w:cs="Times New Roman"/>
          <w:sz w:val="24"/>
          <w:szCs w:val="24"/>
          <w:lang w:eastAsia="pt-BR"/>
        </w:rPr>
      </w:pPr>
    </w:p>
    <w:p w:rsidR="00E630C4" w:rsidRPr="00E630C4" w:rsidRDefault="00E630C4" w:rsidP="00E630C4">
      <w:pPr>
        <w:pStyle w:val="SemEspaamento"/>
        <w:ind w:firstLine="567"/>
        <w:jc w:val="both"/>
        <w:rPr>
          <w:rFonts w:ascii="Times New Roman" w:hAnsi="Times New Roman" w:cs="Times New Roman"/>
          <w:sz w:val="24"/>
          <w:szCs w:val="24"/>
          <w:lang w:eastAsia="pt-BR"/>
        </w:rPr>
      </w:pPr>
      <w:r w:rsidRPr="00E630C4">
        <w:rPr>
          <w:rFonts w:ascii="Times New Roman" w:hAnsi="Times New Roman" w:cs="Times New Roman"/>
          <w:sz w:val="24"/>
          <w:szCs w:val="24"/>
          <w:lang w:eastAsia="pt-BR"/>
        </w:rPr>
        <w:t>Palácio do Governo do</w:t>
      </w:r>
      <w:r w:rsidR="001210DD">
        <w:rPr>
          <w:rFonts w:ascii="Times New Roman" w:hAnsi="Times New Roman" w:cs="Times New Roman"/>
          <w:sz w:val="24"/>
          <w:szCs w:val="24"/>
          <w:lang w:eastAsia="pt-BR"/>
        </w:rPr>
        <w:t xml:space="preserve"> Estado de Rondônia, em        de </w:t>
      </w:r>
      <w:r>
        <w:rPr>
          <w:rFonts w:ascii="Times New Roman" w:hAnsi="Times New Roman" w:cs="Times New Roman"/>
          <w:sz w:val="24"/>
          <w:szCs w:val="24"/>
          <w:lang w:eastAsia="pt-BR"/>
        </w:rPr>
        <w:t>maio</w:t>
      </w:r>
      <w:r w:rsidR="008B1CDB">
        <w:rPr>
          <w:rFonts w:ascii="Times New Roman" w:hAnsi="Times New Roman" w:cs="Times New Roman"/>
          <w:sz w:val="24"/>
          <w:szCs w:val="24"/>
          <w:lang w:eastAsia="pt-BR"/>
        </w:rPr>
        <w:t xml:space="preserve"> de 2019, 131º</w:t>
      </w:r>
      <w:r w:rsidRPr="00E630C4">
        <w:rPr>
          <w:rFonts w:ascii="Times New Roman" w:hAnsi="Times New Roman" w:cs="Times New Roman"/>
          <w:sz w:val="24"/>
          <w:szCs w:val="24"/>
          <w:lang w:eastAsia="pt-BR"/>
        </w:rPr>
        <w:t xml:space="preserve"> da República.</w:t>
      </w:r>
    </w:p>
    <w:p w:rsidR="00E630C4" w:rsidRPr="00E630C4" w:rsidRDefault="00E630C4" w:rsidP="00E630C4">
      <w:pPr>
        <w:pStyle w:val="SemEspaamento"/>
        <w:ind w:firstLine="567"/>
        <w:jc w:val="both"/>
        <w:rPr>
          <w:rFonts w:ascii="Times New Roman" w:hAnsi="Times New Roman" w:cs="Times New Roman"/>
          <w:sz w:val="24"/>
          <w:szCs w:val="24"/>
          <w:lang w:eastAsia="pt-BR"/>
        </w:rPr>
      </w:pPr>
    </w:p>
    <w:p w:rsidR="00E630C4" w:rsidRPr="00E630C4" w:rsidRDefault="00E630C4" w:rsidP="00E630C4">
      <w:pPr>
        <w:pStyle w:val="SemEspaamento"/>
        <w:ind w:firstLine="567"/>
        <w:jc w:val="both"/>
        <w:rPr>
          <w:rFonts w:ascii="Times New Roman" w:hAnsi="Times New Roman" w:cs="Times New Roman"/>
          <w:sz w:val="24"/>
          <w:szCs w:val="24"/>
          <w:lang w:eastAsia="pt-BR"/>
        </w:rPr>
      </w:pPr>
    </w:p>
    <w:p w:rsidR="00E630C4" w:rsidRPr="00E630C4" w:rsidRDefault="00E630C4" w:rsidP="00E630C4">
      <w:pPr>
        <w:pStyle w:val="SemEspaamento"/>
        <w:ind w:firstLine="567"/>
        <w:jc w:val="both"/>
        <w:rPr>
          <w:rFonts w:ascii="Times New Roman" w:hAnsi="Times New Roman" w:cs="Times New Roman"/>
          <w:sz w:val="24"/>
          <w:szCs w:val="24"/>
          <w:lang w:eastAsia="pt-BR"/>
        </w:rPr>
      </w:pPr>
    </w:p>
    <w:p w:rsidR="00E630C4" w:rsidRPr="00E630C4" w:rsidRDefault="00E630C4" w:rsidP="00E630C4">
      <w:pPr>
        <w:pStyle w:val="SemEspaamento"/>
        <w:jc w:val="center"/>
        <w:rPr>
          <w:rFonts w:ascii="Times New Roman" w:hAnsi="Times New Roman" w:cs="Times New Roman"/>
          <w:sz w:val="24"/>
          <w:szCs w:val="24"/>
          <w:lang w:eastAsia="pt-BR"/>
        </w:rPr>
      </w:pPr>
      <w:r w:rsidRPr="00E630C4">
        <w:rPr>
          <w:rFonts w:ascii="Times New Roman" w:hAnsi="Times New Roman" w:cs="Times New Roman"/>
          <w:b/>
          <w:bCs/>
          <w:sz w:val="24"/>
          <w:szCs w:val="24"/>
          <w:lang w:eastAsia="pt-BR"/>
        </w:rPr>
        <w:t>MARCOS JOSÉ ROCHA DOS SANTOS</w:t>
      </w:r>
    </w:p>
    <w:p w:rsidR="00E630C4" w:rsidRDefault="00E630C4" w:rsidP="00E630C4">
      <w:pPr>
        <w:pStyle w:val="SemEspaamento"/>
        <w:jc w:val="center"/>
        <w:rPr>
          <w:rFonts w:ascii="Times New Roman" w:hAnsi="Times New Roman" w:cs="Times New Roman"/>
          <w:sz w:val="24"/>
          <w:szCs w:val="24"/>
          <w:lang w:eastAsia="pt-BR"/>
        </w:rPr>
      </w:pPr>
      <w:r w:rsidRPr="00E630C4">
        <w:rPr>
          <w:rFonts w:ascii="Times New Roman" w:hAnsi="Times New Roman" w:cs="Times New Roman"/>
          <w:sz w:val="24"/>
          <w:szCs w:val="24"/>
          <w:lang w:eastAsia="pt-BR"/>
        </w:rPr>
        <w:t>Governador</w:t>
      </w:r>
    </w:p>
    <w:p w:rsidR="00DD69F5" w:rsidRDefault="00DD69F5" w:rsidP="00E630C4">
      <w:pPr>
        <w:pStyle w:val="SemEspaamento"/>
        <w:jc w:val="center"/>
        <w:rPr>
          <w:rFonts w:ascii="Times New Roman" w:hAnsi="Times New Roman" w:cs="Times New Roman"/>
          <w:sz w:val="24"/>
          <w:szCs w:val="24"/>
          <w:lang w:eastAsia="pt-BR"/>
        </w:rPr>
      </w:pPr>
    </w:p>
    <w:p w:rsidR="00DD69F5" w:rsidRDefault="00DD69F5" w:rsidP="00E630C4">
      <w:pPr>
        <w:pStyle w:val="SemEspaamento"/>
        <w:jc w:val="center"/>
        <w:rPr>
          <w:rFonts w:ascii="Times New Roman" w:hAnsi="Times New Roman" w:cs="Times New Roman"/>
          <w:sz w:val="24"/>
          <w:szCs w:val="24"/>
          <w:lang w:eastAsia="pt-BR"/>
        </w:rPr>
      </w:pPr>
      <w:bookmarkStart w:id="1" w:name="_GoBack"/>
      <w:bookmarkEnd w:id="1"/>
    </w:p>
    <w:p w:rsidR="00DD69F5" w:rsidRPr="00DD69F5" w:rsidRDefault="00DD69F5" w:rsidP="00DD69F5">
      <w:pPr>
        <w:pStyle w:val="SemEspaamento"/>
        <w:jc w:val="center"/>
        <w:rPr>
          <w:rFonts w:ascii="Times New Roman" w:hAnsi="Times New Roman" w:cs="Times New Roman"/>
          <w:b/>
          <w:sz w:val="24"/>
          <w:szCs w:val="24"/>
          <w:lang w:eastAsia="pt-BR"/>
        </w:rPr>
      </w:pPr>
      <w:r w:rsidRPr="00DD69F5">
        <w:rPr>
          <w:rFonts w:ascii="Times New Roman" w:hAnsi="Times New Roman" w:cs="Times New Roman"/>
          <w:b/>
          <w:sz w:val="24"/>
          <w:szCs w:val="24"/>
          <w:lang w:eastAsia="pt-BR"/>
        </w:rPr>
        <w:t>LUIS FERNANDO PEREIRA DA SILVA</w:t>
      </w:r>
    </w:p>
    <w:p w:rsidR="00DD69F5" w:rsidRPr="00E630C4" w:rsidRDefault="00DD69F5" w:rsidP="00DD69F5">
      <w:pPr>
        <w:pStyle w:val="SemEspaamento"/>
        <w:jc w:val="center"/>
        <w:rPr>
          <w:rFonts w:ascii="Times New Roman" w:hAnsi="Times New Roman" w:cs="Times New Roman"/>
          <w:sz w:val="24"/>
          <w:szCs w:val="24"/>
          <w:lang w:eastAsia="pt-BR"/>
        </w:rPr>
      </w:pPr>
      <w:r w:rsidRPr="00DD69F5">
        <w:rPr>
          <w:rFonts w:ascii="Times New Roman" w:hAnsi="Times New Roman" w:cs="Times New Roman"/>
          <w:sz w:val="24"/>
          <w:szCs w:val="24"/>
          <w:lang w:eastAsia="pt-BR"/>
        </w:rPr>
        <w:t>Secretário de Estado de Finanças</w:t>
      </w:r>
    </w:p>
    <w:p w:rsidR="006D0483" w:rsidRDefault="006D0483"/>
    <w:sectPr w:rsidR="006D0483" w:rsidSect="00BA3A87">
      <w:headerReference w:type="default" r:id="rId7"/>
      <w:footerReference w:type="default" r:id="rId8"/>
      <w:pgSz w:w="11906" w:h="16838"/>
      <w:pgMar w:top="1134"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3A87" w:rsidRDefault="00BA3A87" w:rsidP="00BA3A87">
      <w:pPr>
        <w:spacing w:after="0" w:line="240" w:lineRule="auto"/>
      </w:pPr>
      <w:r>
        <w:separator/>
      </w:r>
    </w:p>
  </w:endnote>
  <w:endnote w:type="continuationSeparator" w:id="0">
    <w:p w:rsidR="00BA3A87" w:rsidRDefault="00BA3A87" w:rsidP="00BA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368318"/>
      <w:docPartObj>
        <w:docPartGallery w:val="Page Numbers (Bottom of Page)"/>
        <w:docPartUnique/>
      </w:docPartObj>
    </w:sdtPr>
    <w:sdtEndPr/>
    <w:sdtContent>
      <w:p w:rsidR="00EE4BE0" w:rsidRDefault="00EE4BE0">
        <w:pPr>
          <w:pStyle w:val="Rodap"/>
          <w:jc w:val="right"/>
        </w:pPr>
        <w:r>
          <w:fldChar w:fldCharType="begin"/>
        </w:r>
        <w:r>
          <w:instrText>PAGE   \* MERGEFORMAT</w:instrText>
        </w:r>
        <w:r>
          <w:fldChar w:fldCharType="separate"/>
        </w:r>
        <w:r w:rsidR="00DD69F5">
          <w:rPr>
            <w:noProof/>
          </w:rPr>
          <w:t>7</w:t>
        </w:r>
        <w:r>
          <w:fldChar w:fldCharType="end"/>
        </w:r>
      </w:p>
    </w:sdtContent>
  </w:sdt>
  <w:p w:rsidR="00EE4BE0" w:rsidRDefault="00EE4BE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3A87" w:rsidRDefault="00BA3A87" w:rsidP="00BA3A87">
      <w:pPr>
        <w:spacing w:after="0" w:line="240" w:lineRule="auto"/>
      </w:pPr>
      <w:r>
        <w:separator/>
      </w:r>
    </w:p>
  </w:footnote>
  <w:footnote w:type="continuationSeparator" w:id="0">
    <w:p w:rsidR="00BA3A87" w:rsidRDefault="00BA3A87" w:rsidP="00BA3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A87" w:rsidRPr="00375EC9" w:rsidRDefault="00BA3A87" w:rsidP="00BA3A87">
    <w:pPr>
      <w:tabs>
        <w:tab w:val="left" w:pos="10350"/>
      </w:tabs>
      <w:spacing w:after="0" w:line="240" w:lineRule="auto"/>
      <w:ind w:right="-54"/>
      <w:jc w:val="center"/>
      <w:rPr>
        <w:rFonts w:ascii="Times New Roman" w:eastAsia="Times New Roman" w:hAnsi="Times New Roman" w:cs="Times New Roman"/>
        <w:b/>
        <w:sz w:val="24"/>
        <w:szCs w:val="24"/>
        <w:lang w:eastAsia="pt-BR"/>
      </w:rPr>
    </w:pPr>
    <w:r w:rsidRPr="00375EC9">
      <w:rPr>
        <w:rFonts w:ascii="Times New Roman" w:eastAsia="Times New Roman" w:hAnsi="Times New Roman" w:cs="Times New Roman"/>
        <w:b/>
        <w:sz w:val="24"/>
        <w:szCs w:val="24"/>
        <w:lang w:eastAsia="pt-BR"/>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05pt;height:71.4pt" o:ole="" fillcolor="window">
          <v:imagedata r:id="rId1" o:title=""/>
        </v:shape>
        <o:OLEObject Type="Embed" ProgID="Word.Picture.8" ShapeID="_x0000_i1025" DrawAspect="Content" ObjectID="_1621161752" r:id="rId2"/>
      </w:object>
    </w:r>
  </w:p>
  <w:p w:rsidR="00BA3A87" w:rsidRPr="00375EC9" w:rsidRDefault="00BA3A87" w:rsidP="00BA3A87">
    <w:pPr>
      <w:spacing w:after="0" w:line="240" w:lineRule="auto"/>
      <w:jc w:val="center"/>
      <w:rPr>
        <w:rFonts w:ascii="Times New Roman" w:eastAsia="Times New Roman" w:hAnsi="Times New Roman" w:cs="Times New Roman"/>
        <w:b/>
        <w:sz w:val="24"/>
        <w:szCs w:val="24"/>
        <w:lang w:eastAsia="pt-BR"/>
      </w:rPr>
    </w:pPr>
    <w:r w:rsidRPr="00375EC9">
      <w:rPr>
        <w:rFonts w:ascii="Times New Roman" w:eastAsia="Times New Roman" w:hAnsi="Times New Roman" w:cs="Times New Roman"/>
        <w:b/>
        <w:sz w:val="24"/>
        <w:szCs w:val="24"/>
        <w:lang w:eastAsia="pt-BR"/>
      </w:rPr>
      <w:t>GOVERNO DO ESTADO DE RONDÔNIA</w:t>
    </w:r>
  </w:p>
  <w:p w:rsidR="00BA3A87" w:rsidRDefault="00BA3A87" w:rsidP="00BA3A87">
    <w:pPr>
      <w:tabs>
        <w:tab w:val="center" w:pos="4252"/>
        <w:tab w:val="right" w:pos="8504"/>
      </w:tabs>
      <w:spacing w:after="0" w:line="240" w:lineRule="auto"/>
      <w:jc w:val="center"/>
      <w:rPr>
        <w:rFonts w:ascii="Times New Roman" w:hAnsi="Times New Roman" w:cs="Times New Roman"/>
        <w:b/>
        <w:sz w:val="24"/>
        <w:szCs w:val="24"/>
      </w:rPr>
    </w:pPr>
    <w:r w:rsidRPr="00375EC9">
      <w:rPr>
        <w:rFonts w:ascii="Times New Roman" w:hAnsi="Times New Roman" w:cs="Times New Roman"/>
        <w:b/>
        <w:sz w:val="24"/>
        <w:szCs w:val="24"/>
      </w:rPr>
      <w:t>GOVERNADORIA</w:t>
    </w:r>
  </w:p>
  <w:p w:rsidR="00BA3A87" w:rsidRDefault="00BA3A8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9"/>
  <w:hyphenationZone w:val="425"/>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C4"/>
    <w:rsid w:val="000B31B4"/>
    <w:rsid w:val="001210DD"/>
    <w:rsid w:val="0034706C"/>
    <w:rsid w:val="006D0483"/>
    <w:rsid w:val="006E2574"/>
    <w:rsid w:val="007330F1"/>
    <w:rsid w:val="008221F3"/>
    <w:rsid w:val="008B1CDB"/>
    <w:rsid w:val="00913DF3"/>
    <w:rsid w:val="00A975FB"/>
    <w:rsid w:val="00AB7DC6"/>
    <w:rsid w:val="00AE3FDF"/>
    <w:rsid w:val="00B37427"/>
    <w:rsid w:val="00BA3A87"/>
    <w:rsid w:val="00BC1F3E"/>
    <w:rsid w:val="00BD4FBB"/>
    <w:rsid w:val="00C32DCB"/>
    <w:rsid w:val="00C35C11"/>
    <w:rsid w:val="00D5768C"/>
    <w:rsid w:val="00D93629"/>
    <w:rsid w:val="00DD69F5"/>
    <w:rsid w:val="00E178C6"/>
    <w:rsid w:val="00E630C4"/>
    <w:rsid w:val="00EE4BE0"/>
    <w:rsid w:val="00F03A58"/>
    <w:rsid w:val="00F22E77"/>
    <w:rsid w:val="00F232CB"/>
    <w:rsid w:val="00F44088"/>
    <w:rsid w:val="00F75586"/>
    <w:rsid w:val="00FA593A"/>
    <w:rsid w:val="00FA59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5:chartTrackingRefBased/>
  <w15:docId w15:val="{7587118E-7CF6-4431-B905-59B79DAA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630C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itacao">
    <w:name w:val="citacao"/>
    <w:basedOn w:val="Normal"/>
    <w:rsid w:val="00E630C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E630C4"/>
    <w:rPr>
      <w:i/>
      <w:iCs/>
    </w:rPr>
  </w:style>
  <w:style w:type="character" w:styleId="Forte">
    <w:name w:val="Strong"/>
    <w:basedOn w:val="Fontepargpadro"/>
    <w:uiPriority w:val="22"/>
    <w:qFormat/>
    <w:rsid w:val="00E630C4"/>
    <w:rPr>
      <w:b/>
      <w:bCs/>
    </w:rPr>
  </w:style>
  <w:style w:type="paragraph" w:styleId="SemEspaamento">
    <w:name w:val="No Spacing"/>
    <w:uiPriority w:val="1"/>
    <w:qFormat/>
    <w:rsid w:val="00E630C4"/>
    <w:pPr>
      <w:spacing w:after="0" w:line="240" w:lineRule="auto"/>
    </w:pPr>
  </w:style>
  <w:style w:type="paragraph" w:customStyle="1" w:styleId="newcitacao">
    <w:name w:val="new_citacao"/>
    <w:basedOn w:val="Normal"/>
    <w:rsid w:val="00FA59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ewtextojustificado">
    <w:name w:val="new_texto_justificado"/>
    <w:basedOn w:val="Normal"/>
    <w:rsid w:val="00FA593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BA3A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A3A87"/>
  </w:style>
  <w:style w:type="paragraph" w:styleId="Rodap">
    <w:name w:val="footer"/>
    <w:basedOn w:val="Normal"/>
    <w:link w:val="RodapChar"/>
    <w:uiPriority w:val="99"/>
    <w:unhideWhenUsed/>
    <w:rsid w:val="00BA3A87"/>
    <w:pPr>
      <w:tabs>
        <w:tab w:val="center" w:pos="4252"/>
        <w:tab w:val="right" w:pos="8504"/>
      </w:tabs>
      <w:spacing w:after="0" w:line="240" w:lineRule="auto"/>
    </w:pPr>
  </w:style>
  <w:style w:type="character" w:customStyle="1" w:styleId="RodapChar">
    <w:name w:val="Rodapé Char"/>
    <w:basedOn w:val="Fontepargpadro"/>
    <w:link w:val="Rodap"/>
    <w:uiPriority w:val="99"/>
    <w:rsid w:val="00BA3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22993">
      <w:bodyDiv w:val="1"/>
      <w:marLeft w:val="0"/>
      <w:marRight w:val="0"/>
      <w:marTop w:val="0"/>
      <w:marBottom w:val="0"/>
      <w:divBdr>
        <w:top w:val="none" w:sz="0" w:space="0" w:color="auto"/>
        <w:left w:val="none" w:sz="0" w:space="0" w:color="auto"/>
        <w:bottom w:val="none" w:sz="0" w:space="0" w:color="auto"/>
        <w:right w:val="none" w:sz="0" w:space="0" w:color="auto"/>
      </w:divBdr>
    </w:div>
    <w:div w:id="202802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2D3F-FA06-44D4-B87B-68E64DF4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8</Pages>
  <Words>2739</Words>
  <Characters>14794</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Gleysa de Oliveira Guedes</dc:creator>
  <cp:keywords/>
  <dc:description/>
  <cp:lastModifiedBy>Wualen Carlos de Oliveira Anthero</cp:lastModifiedBy>
  <cp:revision>21</cp:revision>
  <dcterms:created xsi:type="dcterms:W3CDTF">2019-05-22T14:15:00Z</dcterms:created>
  <dcterms:modified xsi:type="dcterms:W3CDTF">2019-06-04T17:56:00Z</dcterms:modified>
</cp:coreProperties>
</file>