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7" w:rsidRPr="00CE4047" w:rsidRDefault="00CE4047" w:rsidP="00CE404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DECRETO N. </w:t>
      </w:r>
      <w:r w:rsidR="00A20D72">
        <w:rPr>
          <w:rFonts w:ascii="Times New Roman" w:hAnsi="Times New Roman" w:cs="Times New Roman"/>
          <w:sz w:val="24"/>
          <w:szCs w:val="24"/>
          <w:lang w:eastAsia="pt-BR"/>
        </w:rPr>
        <w:t>23.465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, DE </w:t>
      </w:r>
      <w:r w:rsidR="00A20D72">
        <w:rPr>
          <w:rFonts w:ascii="Times New Roman" w:hAnsi="Times New Roman" w:cs="Times New Roman"/>
          <w:sz w:val="24"/>
          <w:szCs w:val="24"/>
          <w:lang w:eastAsia="pt-BR"/>
        </w:rPr>
        <w:t>27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DE </w:t>
      </w:r>
      <w:r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Incorpora ao RICMS/RO as alterações decorrentes da publicação do Convênio/ICMS 142/18, de 14 de dezembro de 2018.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</w:t>
      </w:r>
      <w:r w:rsidR="002A5FA5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, e</w:t>
      </w:r>
      <w:r w:rsidR="000D49F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49F4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considerando 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as alterações decorrentes da publicação do Convênio/ICMS 142/18, de 14 de dezembro de 2018,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="009A74C9">
        <w:rPr>
          <w:rFonts w:ascii="Times New Roman" w:hAnsi="Times New Roman" w:cs="Times New Roman"/>
          <w:sz w:val="24"/>
          <w:szCs w:val="24"/>
          <w:u w:val="single"/>
          <w:lang w:eastAsia="pt-BR"/>
        </w:rPr>
        <w:t>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Art. 1º. Passam a vigorar, com a seguinte redação, os dispositivos a seguir relacionados do Anexo VI do RICMS/RO, aprovado pelo Decreto nº 22.721, de 5 de abril de 2018: (Convênio ICMS 142/18, efeitos a partir de </w:t>
      </w:r>
      <w:r w:rsidR="009A74C9">
        <w:rPr>
          <w:rFonts w:ascii="Times New Roman" w:hAnsi="Times New Roman" w:cs="Times New Roman"/>
          <w:sz w:val="24"/>
          <w:szCs w:val="24"/>
          <w:lang w:eastAsia="pt-BR"/>
        </w:rPr>
        <w:t>1º de janeiro de 2019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Pr="009A74C9">
        <w:rPr>
          <w:rFonts w:ascii="Times New Roman" w:hAnsi="Times New Roman" w:cs="Times New Roman"/>
          <w:sz w:val="24"/>
          <w:szCs w:val="24"/>
          <w:lang w:eastAsia="pt-BR"/>
        </w:rPr>
        <w:t>o </w:t>
      </w:r>
      <w:r w:rsidRPr="009A74C9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2º: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2º. Para fins da substituição tributária do imposto devido nas operações subsequentes, observar-se-á o disposto neste</w:t>
      </w:r>
      <w:r w:rsidR="00C75531">
        <w:rPr>
          <w:rFonts w:ascii="Times New Roman" w:hAnsi="Times New Roman" w:cs="Times New Roman"/>
          <w:sz w:val="24"/>
          <w:szCs w:val="24"/>
          <w:lang w:eastAsia="pt-BR"/>
        </w:rPr>
        <w:t xml:space="preserve"> Anexo. (Convênio ICMS 142/18, </w:t>
      </w:r>
      <w:r w:rsidR="004655DB">
        <w:rPr>
          <w:rFonts w:ascii="Times New Roman" w:hAnsi="Times New Roman" w:cs="Times New Roman"/>
          <w:sz w:val="24"/>
          <w:szCs w:val="24"/>
          <w:lang w:eastAsia="pt-BR"/>
        </w:rPr>
        <w:t>cláusula p</w:t>
      </w:r>
      <w:r w:rsidR="004655DB" w:rsidRPr="00CE4047">
        <w:rPr>
          <w:rFonts w:ascii="Times New Roman" w:hAnsi="Times New Roman" w:cs="Times New Roman"/>
          <w:sz w:val="24"/>
          <w:szCs w:val="24"/>
          <w:lang w:eastAsia="pt-BR"/>
        </w:rPr>
        <w:t>rimeira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A74C9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II - o </w:t>
      </w:r>
      <w:r w:rsidRPr="009A74C9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4º: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4º. O regime de substituição tributária nas operações interestaduais dependerá de acordo específico celebrado pelo Estado de Rondônia com uma ou mais unidades da Federação. (Convênio ICMS 142/18, </w:t>
      </w:r>
      <w:r w:rsidR="004655DB">
        <w:rPr>
          <w:rFonts w:ascii="Times New Roman" w:hAnsi="Times New Roman" w:cs="Times New Roman"/>
          <w:sz w:val="24"/>
          <w:szCs w:val="24"/>
          <w:lang w:eastAsia="pt-BR"/>
        </w:rPr>
        <w:t>cláusula s</w:t>
      </w:r>
      <w:r w:rsidR="004655DB" w:rsidRPr="00CE4047">
        <w:rPr>
          <w:rFonts w:ascii="Times New Roman" w:hAnsi="Times New Roman" w:cs="Times New Roman"/>
          <w:sz w:val="24"/>
          <w:szCs w:val="24"/>
          <w:lang w:eastAsia="pt-BR"/>
        </w:rPr>
        <w:t>egunda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) (Lei </w:t>
      </w:r>
      <w:r w:rsidR="00246A7E">
        <w:rPr>
          <w:rFonts w:ascii="Times New Roman" w:hAnsi="Times New Roman" w:cs="Times New Roman"/>
          <w:sz w:val="24"/>
          <w:szCs w:val="24"/>
          <w:lang w:eastAsia="pt-BR"/>
        </w:rPr>
        <w:t>nº 688/96, artigo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25)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</w:t>
      </w:r>
      <w:r w:rsidR="009A74C9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III - o artigo 5º: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5º.  As disposições deste Anexo se aplicam a todos os contribuintes do imposto, optantes ou não pelo Simples Nacional. (Convênio ICMS 142/18, </w:t>
      </w:r>
      <w:r w:rsidR="00834F37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834F3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láusula </w:t>
      </w:r>
      <w:r w:rsidR="00834F37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834F37" w:rsidRPr="00CE4047">
        <w:rPr>
          <w:rFonts w:ascii="Times New Roman" w:hAnsi="Times New Roman" w:cs="Times New Roman"/>
          <w:sz w:val="24"/>
          <w:szCs w:val="24"/>
          <w:lang w:eastAsia="pt-BR"/>
        </w:rPr>
        <w:t>erceira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)”;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4655DB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4655DB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CE4047" w:rsidRPr="004655D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6º: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6º. Nas operações sujeitas à substituição tributária destinada a este Estado, o sujeito passivo por substituição tributária observará a legislação tributária do Estado de Ro</w:t>
      </w:r>
      <w:r w:rsidR="00246A7E">
        <w:rPr>
          <w:rFonts w:ascii="Times New Roman" w:hAnsi="Times New Roman" w:cs="Times New Roman"/>
          <w:sz w:val="24"/>
          <w:szCs w:val="24"/>
          <w:lang w:eastAsia="pt-BR"/>
        </w:rPr>
        <w:t xml:space="preserve">ndônia. (Convênio ICMS 142/18, </w:t>
      </w:r>
      <w:r w:rsidR="00834F37">
        <w:rPr>
          <w:rFonts w:ascii="Times New Roman" w:hAnsi="Times New Roman" w:cs="Times New Roman"/>
          <w:sz w:val="24"/>
          <w:szCs w:val="24"/>
          <w:lang w:eastAsia="pt-BR"/>
        </w:rPr>
        <w:t>cláusula q</w:t>
      </w:r>
      <w:r w:rsidR="00834F37" w:rsidRPr="00CE4047">
        <w:rPr>
          <w:rFonts w:ascii="Times New Roman" w:hAnsi="Times New Roman" w:cs="Times New Roman"/>
          <w:sz w:val="24"/>
          <w:szCs w:val="24"/>
          <w:lang w:eastAsia="pt-BR"/>
        </w:rPr>
        <w:t>uarta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</w:t>
      </w:r>
      <w:r w:rsidR="00246A7E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246A7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246A7E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7º: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“Art. 7º. As regras relativas à substituição tributária em relação aos segmentos, bens e mercadorias a seguir descritos, serão tratadas em Anexo específico: (Convênio ICMS 142/18, cláusula quinta)</w:t>
      </w:r>
    </w:p>
    <w:p w:rsidR="000F7050" w:rsidRPr="00CE4047" w:rsidRDefault="000F7050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</w:t>
      </w:r>
      <w:r w:rsidR="00BF3515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VI - o </w:t>
      </w:r>
      <w:r w:rsidRPr="00BF3515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8º: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8º. Para fins deste Anexo, considera-se: (Convênio ICMS 142/18, </w:t>
      </w:r>
      <w:r w:rsidR="003178E6">
        <w:rPr>
          <w:rFonts w:ascii="Times New Roman" w:hAnsi="Times New Roman" w:cs="Times New Roman"/>
          <w:sz w:val="24"/>
          <w:szCs w:val="24"/>
          <w:lang w:eastAsia="pt-BR"/>
        </w:rPr>
        <w:t>cláusula s</w:t>
      </w:r>
      <w:r w:rsidR="003178E6" w:rsidRPr="00CE4047">
        <w:rPr>
          <w:rFonts w:ascii="Times New Roman" w:hAnsi="Times New Roman" w:cs="Times New Roman"/>
          <w:sz w:val="24"/>
          <w:szCs w:val="24"/>
          <w:lang w:eastAsia="pt-BR"/>
        </w:rPr>
        <w:t>exta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</w:t>
      </w:r>
      <w:r w:rsidR="00BF3515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FA4889">
        <w:rPr>
          <w:rFonts w:ascii="Times New Roman" w:hAnsi="Times New Roman" w:cs="Times New Roman"/>
          <w:sz w:val="24"/>
          <w:szCs w:val="24"/>
          <w:lang w:eastAsia="pt-BR"/>
        </w:rPr>
        <w:t>VII 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FA4889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10: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10. Os bens e mercadorias sujeitos à substituição tributária ou à antecipação com encerramento da fase de tributação estão identificados nas Tabelas II a XXVI da Parte 2 deste </w:t>
      </w:r>
      <w:r w:rsidR="00FA4889">
        <w:rPr>
          <w:rFonts w:ascii="Times New Roman" w:hAnsi="Times New Roman" w:cs="Times New Roman"/>
          <w:sz w:val="24"/>
          <w:szCs w:val="24"/>
          <w:lang w:eastAsia="pt-BR"/>
        </w:rPr>
        <w:t xml:space="preserve">Anexo. (Convênio ICMS 142/18, </w:t>
      </w:r>
      <w:r w:rsidR="003178E6">
        <w:rPr>
          <w:rFonts w:ascii="Times New Roman" w:hAnsi="Times New Roman" w:cs="Times New Roman"/>
          <w:sz w:val="24"/>
          <w:szCs w:val="24"/>
          <w:lang w:eastAsia="pt-BR"/>
        </w:rPr>
        <w:t>cláusula s</w:t>
      </w:r>
      <w:r w:rsidR="003178E6" w:rsidRPr="00CE4047">
        <w:rPr>
          <w:rFonts w:ascii="Times New Roman" w:hAnsi="Times New Roman" w:cs="Times New Roman"/>
          <w:sz w:val="24"/>
          <w:szCs w:val="24"/>
          <w:lang w:eastAsia="pt-BR"/>
        </w:rPr>
        <w:t>étima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</w:t>
      </w:r>
      <w:r w:rsidR="00FA4889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VIII </w:t>
      </w:r>
      <w:r w:rsidR="00FA48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FA4889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11: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11. O regime de substituição tributária não se aplica: (Convênio ICMS 142/18, </w:t>
      </w:r>
      <w:r w:rsidR="003178E6">
        <w:rPr>
          <w:rFonts w:ascii="Times New Roman" w:hAnsi="Times New Roman" w:cs="Times New Roman"/>
          <w:sz w:val="24"/>
          <w:szCs w:val="24"/>
          <w:lang w:eastAsia="pt-BR"/>
        </w:rPr>
        <w:t>cláusula n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ona)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</w:t>
      </w:r>
      <w:r w:rsidR="00171846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F17266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IX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F17266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CE4047"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12: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12. O contribuinte remetente que promover operações interestaduais destinadas ao Estado de Rondônia com bens e mercadorias especificados em convênio ou protocolo que disponha sobre o regime de substituição tributária será o responsável, na condição de sujeito passivo por substituição, pela retenção e recolhimento do imposto relativo às operações subsequentes devido a este Estado, mesmo que o imposto tenha sido retido anterio</w:t>
      </w:r>
      <w:r w:rsidR="00C35D3B">
        <w:rPr>
          <w:rFonts w:ascii="Times New Roman" w:hAnsi="Times New Roman" w:cs="Times New Roman"/>
          <w:sz w:val="24"/>
          <w:szCs w:val="24"/>
          <w:lang w:eastAsia="pt-BR"/>
        </w:rPr>
        <w:t xml:space="preserve">rmente. (Convênio ICMS 142/18, </w:t>
      </w:r>
      <w:r w:rsidR="003178E6">
        <w:rPr>
          <w:rFonts w:ascii="Times New Roman" w:hAnsi="Times New Roman" w:cs="Times New Roman"/>
          <w:sz w:val="24"/>
          <w:szCs w:val="24"/>
          <w:lang w:eastAsia="pt-BR"/>
        </w:rPr>
        <w:t>cláusula o</w:t>
      </w:r>
      <w:r w:rsidR="003178E6" w:rsidRPr="00CE4047">
        <w:rPr>
          <w:rFonts w:ascii="Times New Roman" w:hAnsi="Times New Roman" w:cs="Times New Roman"/>
          <w:sz w:val="24"/>
          <w:szCs w:val="24"/>
          <w:lang w:eastAsia="pt-BR"/>
        </w:rPr>
        <w:t>itava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) (Lei </w:t>
      </w:r>
      <w:r w:rsidR="00C35D3B">
        <w:rPr>
          <w:rFonts w:ascii="Times New Roman" w:hAnsi="Times New Roman" w:cs="Times New Roman"/>
          <w:sz w:val="24"/>
          <w:szCs w:val="24"/>
          <w:lang w:eastAsia="pt-BR"/>
        </w:rPr>
        <w:t>nº 688/96, artigo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24-A, § 2º, inciso I)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</w:t>
      </w:r>
      <w:r w:rsidR="006C5F77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6C5F7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6C5F77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19: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19. O vencimento do imposto devido por substituição tributária será: (Convênio ICMS 142/18, </w:t>
      </w:r>
      <w:r w:rsidR="00D459AE" w:rsidRPr="00D459AE">
        <w:rPr>
          <w:rFonts w:ascii="Times New Roman" w:hAnsi="Times New Roman" w:cs="Times New Roman"/>
          <w:sz w:val="24"/>
          <w:szCs w:val="24"/>
          <w:lang w:eastAsia="pt-BR"/>
        </w:rPr>
        <w:t>cláusula décima quarta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</w:t>
      </w:r>
      <w:r w:rsidR="003F3010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3F301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3F3010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21: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21. O ressarcimento de que trata o artigo 20 poderá ser efetuado, alternativamente, nas seguintes modalidades: (Convênio ICMS 142/18, </w:t>
      </w:r>
      <w:r w:rsidR="00D459AE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cláusula </w:t>
      </w:r>
      <w:r w:rsidR="00D459AE">
        <w:rPr>
          <w:rFonts w:ascii="Times New Roman" w:hAnsi="Times New Roman" w:cs="Times New Roman"/>
          <w:sz w:val="24"/>
          <w:szCs w:val="24"/>
          <w:lang w:eastAsia="pt-BR"/>
        </w:rPr>
        <w:t>décima q</w:t>
      </w:r>
      <w:r w:rsidR="00D459AE" w:rsidRPr="00CE4047">
        <w:rPr>
          <w:rFonts w:ascii="Times New Roman" w:hAnsi="Times New Roman" w:cs="Times New Roman"/>
          <w:sz w:val="24"/>
          <w:szCs w:val="24"/>
          <w:lang w:eastAsia="pt-BR"/>
        </w:rPr>
        <w:t>uinta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, § 5º)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</w:t>
      </w:r>
      <w:r w:rsidR="003F3010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 (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3F301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3F3010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e o § 1º do artigo 25:</w:t>
      </w:r>
    </w:p>
    <w:p w:rsidR="00C5553B" w:rsidRPr="00CE4047" w:rsidRDefault="00C5553B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“Art. 25. O sujeito passivo remetente que promover operações interestaduais destinadas ao Estado de Rondônia, com bens e mercadorias especificados em convênio ou protocolo que disponha sobre o regime de substituição tributária, poderá inscrever-se no CAD/ICMS-RO como substituto tributário.  (Convênio ICMS 142/18, cláusula décima sétima)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§ 1º. O número do CAD/ICMS-RO a que se refere o caput deverá ser aposto em todos os documentos dirigidos ao Estado de Rondônia, inclusive no documento de arrecadação. (Convênio ICMS 1</w:t>
      </w:r>
      <w:r w:rsidR="00F9252E">
        <w:rPr>
          <w:rFonts w:ascii="Times New Roman" w:hAnsi="Times New Roman" w:cs="Times New Roman"/>
          <w:sz w:val="24"/>
          <w:szCs w:val="24"/>
          <w:lang w:eastAsia="pt-BR"/>
        </w:rPr>
        <w:t xml:space="preserve">42/18, </w:t>
      </w:r>
      <w:r w:rsidR="00710732">
        <w:rPr>
          <w:rFonts w:ascii="Times New Roman" w:hAnsi="Times New Roman" w:cs="Times New Roman"/>
          <w:sz w:val="24"/>
          <w:szCs w:val="24"/>
          <w:lang w:eastAsia="pt-BR"/>
        </w:rPr>
        <w:t>cláusula décima sétima</w:t>
      </w:r>
      <w:r w:rsidR="00F9252E">
        <w:rPr>
          <w:rFonts w:ascii="Times New Roman" w:hAnsi="Times New Roman" w:cs="Times New Roman"/>
          <w:sz w:val="24"/>
          <w:szCs w:val="24"/>
          <w:lang w:eastAsia="pt-BR"/>
        </w:rPr>
        <w:t>, P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arágrafo único)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</w:t>
      </w:r>
      <w:r w:rsidR="00F26D7E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XIII </w:t>
      </w:r>
      <w:r w:rsidR="00F9252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710732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29: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29. O documento fiscal emitido pelo substituto tributário, nas operações com bens e mercadorias listados nas tabelas da Parte 2 deste Anexo, além das demais indicações exigidas pela legislação, conterá o valor que serviu de base de cálculo da substituição tributária e o valor do imposto retido. (Convênio ICMS 142/18, cláusula vigésima)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="00710732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XIV - o </w:t>
      </w:r>
      <w:r w:rsidRPr="00CB4EF3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32: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32. O sujeito passivo por substituição tributária remeterá à CRE a GIA/ST, em conformidade com a </w:t>
      </w:r>
      <w:r w:rsidR="00CB4EF3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láusula </w:t>
      </w:r>
      <w:r w:rsidR="00CB4EF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itava do Ajuste SINIEF n</w:t>
      </w:r>
      <w:r w:rsidR="00CB4EF3">
        <w:rPr>
          <w:rFonts w:ascii="Times New Roman" w:hAnsi="Times New Roman" w:cs="Times New Roman"/>
          <w:sz w:val="24"/>
          <w:szCs w:val="24"/>
          <w:lang w:eastAsia="pt-BR"/>
        </w:rPr>
        <w:t xml:space="preserve">º 04/93, de 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9 de dezembro de 1993. (Convênio ICMS 142/18, </w:t>
      </w:r>
      <w:r w:rsidR="00A53B50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A53B50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láusula </w:t>
      </w:r>
      <w:r w:rsidR="00A53B50">
        <w:rPr>
          <w:rFonts w:ascii="Times New Roman" w:hAnsi="Times New Roman" w:cs="Times New Roman"/>
          <w:sz w:val="24"/>
          <w:szCs w:val="24"/>
          <w:lang w:eastAsia="pt-BR"/>
        </w:rPr>
        <w:t>vigésima p</w:t>
      </w:r>
      <w:r w:rsidR="00A53B50" w:rsidRPr="00CE4047">
        <w:rPr>
          <w:rFonts w:ascii="Times New Roman" w:hAnsi="Times New Roman" w:cs="Times New Roman"/>
          <w:sz w:val="24"/>
          <w:szCs w:val="24"/>
          <w:lang w:eastAsia="pt-BR"/>
        </w:rPr>
        <w:t>rimeira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</w:t>
      </w:r>
      <w:r w:rsidR="00CB4EF3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XV</w:t>
      </w:r>
      <w:r w:rsidR="00C70498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C70498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34: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“Art. 34. Os bens e mercadorias relacionados na Tabela I da Parte 4 deste Anexo serão considerados fabricados em escala industrial não relevante, quando produzidos por sujeito passivo que atender, cumulativamente, as seguintes condições: (Convênio ICMS 142/18, </w:t>
      </w:r>
      <w:r w:rsidR="00A53B50">
        <w:rPr>
          <w:rFonts w:ascii="Times New Roman" w:hAnsi="Times New Roman" w:cs="Times New Roman"/>
          <w:sz w:val="24"/>
          <w:szCs w:val="24"/>
          <w:lang w:eastAsia="pt-BR"/>
        </w:rPr>
        <w:t>cláusula vigésima s</w:t>
      </w:r>
      <w:r w:rsidR="00A53B50" w:rsidRPr="00CE4047">
        <w:rPr>
          <w:rFonts w:ascii="Times New Roman" w:hAnsi="Times New Roman" w:cs="Times New Roman"/>
          <w:sz w:val="24"/>
          <w:szCs w:val="24"/>
          <w:lang w:eastAsia="pt-BR"/>
        </w:rPr>
        <w:t>egunda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r w:rsidR="00936075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XVI </w:t>
      </w:r>
      <w:r w:rsidR="00E86BD4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E86BD4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35: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35. A MVA será fixada com base em preços usualmente praticados no mercado considerado, obtidos por levantamento, ainda que por amostragem ou por dados fornecidos por entidades representativas dos respectivos setores, adotando-se a média ponderada dos preços col</w:t>
      </w:r>
      <w:r w:rsidR="00E86BD4">
        <w:rPr>
          <w:rFonts w:ascii="Times New Roman" w:hAnsi="Times New Roman" w:cs="Times New Roman"/>
          <w:sz w:val="24"/>
          <w:szCs w:val="24"/>
          <w:lang w:eastAsia="pt-BR"/>
        </w:rPr>
        <w:t xml:space="preserve">etados. (Convênio ICMS 142/18, </w:t>
      </w:r>
      <w:r w:rsidR="00A53B50">
        <w:rPr>
          <w:rFonts w:ascii="Times New Roman" w:hAnsi="Times New Roman" w:cs="Times New Roman"/>
          <w:sz w:val="24"/>
          <w:szCs w:val="24"/>
          <w:lang w:eastAsia="pt-BR"/>
        </w:rPr>
        <w:t>cláusula vigésima t</w:t>
      </w:r>
      <w:r w:rsidR="00A53B50" w:rsidRPr="00CE4047">
        <w:rPr>
          <w:rFonts w:ascii="Times New Roman" w:hAnsi="Times New Roman" w:cs="Times New Roman"/>
          <w:sz w:val="24"/>
          <w:szCs w:val="24"/>
          <w:lang w:eastAsia="pt-BR"/>
        </w:rPr>
        <w:t>erceira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</w:t>
      </w:r>
      <w:r w:rsidR="008560AE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Default="001400AD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XVII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1400AD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CE4047"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36:</w:t>
      </w:r>
    </w:p>
    <w:p w:rsidR="008577A8" w:rsidRPr="00CE4047" w:rsidRDefault="008577A8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“Art. 36. O PMPF será fixado com base em preços usualmente praticados no mercado considerado, obtidos por levantamento, ainda que por amostragem ou por dados fornecidos por entidades representativas dos respectivos setores, adotando-se a média ponderada dos preços coletados. (Convênio ICMS 142/18, cláusula vigésima quarta)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</w:t>
      </w:r>
      <w:r w:rsidR="005F7F49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XVIII </w:t>
      </w:r>
      <w:r w:rsidR="005F7F4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5F7F49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artigo 37: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37. A pesquisa para obtenção da MVA ou do PMPF observará, ainda, o seguinte: (Convênio ICMS 142/18, cláusula vigésima quinta)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</w:t>
      </w:r>
      <w:r w:rsidR="00E6423D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CE4047" w:rsidRPr="00CE4047" w:rsidRDefault="005F7F49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XIX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5F7F49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38: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38. A CRE poderá autorizar que a pesquisa seja realizada por instituto, órgão ou entidade de reputação idônea, desvinculado da entidade representativa do setor. (Convênio ICMS 142/18, cláusula vigésima sexta)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</w:t>
      </w:r>
      <w:r w:rsidR="008D404C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8D404C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8D404C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39: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39. A CRE, após a realização da pesquisa relativa à apuração da MVA e do PMPF, cientificará as entidades representativas do setor envolvido na produção e comercialização da mercadoria do resultado encontrado, caso em que estabelecerá prazo para que as entidades representativas se manifestem com a devida fundamentação. (Convênio ICMS 142/18, cláusula vigésima sétima)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</w:t>
      </w:r>
      <w:r w:rsidR="008D404C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CE4047" w:rsidRPr="00CE4047" w:rsidRDefault="0043091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430917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50: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50. O contribuinte deverá observar a legislação interna do Estado de Rondônia, relativamente ao tratamento tributário do estoque de bens e mercadorias incluídas ou excluídas do regime de substituição tributária referente às operações subsequentes, bem como nas demais situações previstas na legislação rondoniense. (Convênio ICMS 142/18, cláusula vigésima oitava)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</w:t>
      </w:r>
      <w:r w:rsidR="00861AC2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861AC2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XXII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="00CE4047" w:rsidRPr="00861AC2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do artigo 51: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“Art. 51. A fiscalização do sujeito passivo por substituição tributária será exercida, conjunta ou isoladamente, pelas unidades federadas envolvidas nas operações, condicionando-se a administração tributária da unidade federada de destino ao credenciamento prévio junto à administração tributária de localização do estabelecimento a ser fiscalizado. (Convênio ICMS 142/18, cláusula vigésima nona)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</w:t>
      </w:r>
      <w:r w:rsidR="00861AC2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8B798A" w:rsidRDefault="008B798A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4047" w:rsidRPr="00CE4047" w:rsidRDefault="00861AC2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XXIII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 artigo 52: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52. Constitui crédito tributário do Estado de Rondônia o imposto retido pelo substituto tributário quando a operação tiver como destino este Estado, bem como a atualização monetária, multas e juros de mora. (Convênio ICMS 142/18, cláusula trigésima)” 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XXIV </w:t>
      </w:r>
      <w:r w:rsidR="0063561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 título da Tabela I da Parte 2: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“TABELA I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SEGMENTOS DE MERCADORIAS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(Convênio ICMS 142/18, Anexo I) (NR)”;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XXV </w:t>
      </w:r>
      <w:r w:rsidR="0063561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 título da Tabela I da Parte 4: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“TABELA I 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BEM E MERCADORIA FABRICADOS EM ESCALA INDUSTRIAL NÃO RELEVANTE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(Convênio ICMS 142/18, Anexo XXVII)</w:t>
      </w:r>
      <w:r w:rsidR="0063561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(NR)”;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XXVI - o </w:t>
      </w:r>
      <w:r w:rsidRPr="00635618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§ 1º do artigo 35: (Convênio ICMS 142/18, cláusula vigésima terceira, § 1º)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35.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35618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71047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 levantamento previsto no </w:t>
      </w:r>
      <w:r w:rsidRPr="00710475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será promovido pela CRE, assegurada a participação das entidades de classe representativas dos diferentes segmentos econômicos, observando-se: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</w:t>
      </w:r>
      <w:r w:rsidR="00710475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XXVII </w:t>
      </w:r>
      <w:r w:rsidR="0071047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 </w:t>
      </w:r>
      <w:r w:rsidRPr="00710475">
        <w:rPr>
          <w:rFonts w:ascii="Times New Roman" w:hAnsi="Times New Roman" w:cs="Times New Roman"/>
          <w:iCs/>
          <w:sz w:val="24"/>
          <w:szCs w:val="24"/>
          <w:lang w:eastAsia="pt-BR"/>
        </w:rPr>
        <w:t>caput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do parágrafo único do artigo 36: (Convênio ICMS 142/18, cláusula vigésima terceira, § 1º)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36........................</w:t>
      </w:r>
      <w:r w:rsidR="005E6CD5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Parágrafo único. O levantamento previsto no </w:t>
      </w:r>
      <w:r w:rsidRPr="005E6CD5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será promovido pela CRE, assegurada a participação das entidades de classe representativas dos diferentes segmentos econômicos, observando-se: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</w:t>
      </w:r>
      <w:r w:rsidR="005E6CD5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5E6CD5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XXVIII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 inciso I do artigo 37: (Convênio ICMS 142/18, cláusula vigésima terceira, § 1º)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“Art. 37. .........................................................................................</w:t>
      </w:r>
      <w:r w:rsidR="005E6CD5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5E6CD5"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poderão ser desconsiderados os preços de promoção, bem como aqueles submetidos a qualquer tipo de comercialização privilegiada;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</w:t>
      </w:r>
      <w:r w:rsidR="005E6CD5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</w:t>
      </w:r>
      <w:proofErr w:type="gramEnd"/>
      <w:r w:rsidRPr="00CE4047">
        <w:rPr>
          <w:rFonts w:ascii="Times New Roman" w:hAnsi="Times New Roman" w:cs="Times New Roman"/>
          <w:sz w:val="24"/>
          <w:szCs w:val="24"/>
          <w:lang w:eastAsia="pt-BR"/>
        </w:rPr>
        <w:t>”(NR);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Art. 2º. Ficam acrescentados, com a seguinte redação, os dispositivos adiante enumerados ao Anexo VI do RICMS/RO, aprovado pelo Decreto n</w:t>
      </w:r>
      <w:r w:rsidR="007E1DF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22.721, de 5 de abril de 2018:</w:t>
      </w:r>
    </w:p>
    <w:p w:rsidR="00BF3842" w:rsidRDefault="00BF3842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4047" w:rsidRPr="00CE4047" w:rsidRDefault="007E1DF6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os §§ 9º e 10 ao artigo 11: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“Art. 11.........................................................................................</w:t>
      </w:r>
      <w:r w:rsidR="00D54BFE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</w:t>
      </w:r>
      <w:r w:rsidR="00D54BFE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.................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§ 9º. O disposto no inciso IV do </w:t>
      </w:r>
      <w:r w:rsidRPr="00D54BFE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D54BFE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somente se aplica a partir do primeiro dia do primeiro mês subsequente ao da disponibilização, pelo Estado de Rondônia, em seu respectivo sítio na internet, do rol dos contribuintes e respectivos segmentos de bens, mercadorias ou itens, detentores de regimes especiais de tributação que lhes atribuam a responsabilidade, na condição de substituto tributário, pela retenção e recolhimento do ICMS devido pelas operações subsequentes. (Convênio ICMS 142/18, cláusula nona, § 4º)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§ 10. O rol dos contribuintes e respectivos segmentos de bens, mercadorias ou itens, de que trata o § 4º deste artigo, deve ser encaminhado à Secretaria Executiva do CONFAZ, para disponibilização em seu sítio eletrônico na internet. (Convênio ICMS 142/18, cláusula nona, § 5º)”;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Art. 3º. Ficam revogados os seguintes dispositivos do Anexo VI do RICMS/RO, aprovado pelo Decreto nº 22.721, de 5 de abril de 2018: (Convênio ICMS 142/18, efeitos a partir de </w:t>
      </w:r>
      <w:r w:rsidR="008C5944">
        <w:rPr>
          <w:rFonts w:ascii="Times New Roman" w:hAnsi="Times New Roman" w:cs="Times New Roman"/>
          <w:sz w:val="24"/>
          <w:szCs w:val="24"/>
          <w:lang w:eastAsia="pt-BR"/>
        </w:rPr>
        <w:t>1º de janeiro de 2019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I - o § 4º do artigo 11; (Convênio ICMS 142/18, cláusula nona)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5B54B8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 xml:space="preserve"> os §§ 1º e 2º do artigo 14; (Convênio ICMS 142/18, </w:t>
      </w:r>
      <w:r w:rsidR="008060F8">
        <w:rPr>
          <w:rFonts w:ascii="Times New Roman" w:hAnsi="Times New Roman" w:cs="Times New Roman"/>
          <w:sz w:val="24"/>
          <w:szCs w:val="24"/>
          <w:lang w:eastAsia="pt-BR"/>
        </w:rPr>
        <w:t xml:space="preserve">cláusula </w:t>
      </w:r>
      <w:r w:rsidR="00CE4047" w:rsidRPr="00CE4047">
        <w:rPr>
          <w:rFonts w:ascii="Times New Roman" w:hAnsi="Times New Roman" w:cs="Times New Roman"/>
          <w:sz w:val="24"/>
          <w:szCs w:val="24"/>
          <w:lang w:eastAsia="pt-BR"/>
        </w:rPr>
        <w:t>décima primeira)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publicação, produzindo efeitos a partir de 1º de janeiro de 2019.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 </w:t>
      </w:r>
      <w:r w:rsidR="00A20D72">
        <w:rPr>
          <w:rFonts w:ascii="Times New Roman" w:hAnsi="Times New Roman" w:cs="Times New Roman"/>
          <w:sz w:val="24"/>
          <w:szCs w:val="24"/>
          <w:lang w:eastAsia="pt-BR"/>
        </w:rPr>
        <w:t>27</w:t>
      </w:r>
      <w:bookmarkStart w:id="0" w:name="_GoBack"/>
      <w:bookmarkEnd w:id="0"/>
      <w:r w:rsidR="00A20D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de 2018, 131º da República.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E4047" w:rsidRPr="00CE4047" w:rsidRDefault="00CE4047" w:rsidP="00CE404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CE4047" w:rsidRPr="00CE4047" w:rsidRDefault="00CE4047" w:rsidP="00CE404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E404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CE4047" w:rsidRPr="00CE4047" w:rsidSect="00110F03">
      <w:headerReference w:type="default" r:id="rId7"/>
      <w:footerReference w:type="default" r:id="rId8"/>
      <w:pgSz w:w="11906" w:h="16838"/>
      <w:pgMar w:top="1134" w:right="567" w:bottom="567" w:left="1134" w:header="56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93" w:rsidRDefault="001B1A93" w:rsidP="001B1A93">
      <w:pPr>
        <w:spacing w:after="0" w:line="240" w:lineRule="auto"/>
      </w:pPr>
      <w:r>
        <w:separator/>
      </w:r>
    </w:p>
  </w:endnote>
  <w:endnote w:type="continuationSeparator" w:id="0">
    <w:p w:rsidR="001B1A93" w:rsidRDefault="001B1A93" w:rsidP="001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726862"/>
      <w:docPartObj>
        <w:docPartGallery w:val="Page Numbers (Bottom of Page)"/>
        <w:docPartUnique/>
      </w:docPartObj>
    </w:sdtPr>
    <w:sdtEndPr/>
    <w:sdtContent>
      <w:p w:rsidR="00110F03" w:rsidRDefault="00110F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D72">
          <w:rPr>
            <w:noProof/>
          </w:rPr>
          <w:t>6</w:t>
        </w:r>
        <w:r>
          <w:fldChar w:fldCharType="end"/>
        </w:r>
      </w:p>
    </w:sdtContent>
  </w:sdt>
  <w:p w:rsidR="00110F03" w:rsidRDefault="00110F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93" w:rsidRDefault="001B1A93" w:rsidP="001B1A93">
      <w:pPr>
        <w:spacing w:after="0" w:line="240" w:lineRule="auto"/>
      </w:pPr>
      <w:r>
        <w:separator/>
      </w:r>
    </w:p>
  </w:footnote>
  <w:footnote w:type="continuationSeparator" w:id="0">
    <w:p w:rsidR="001B1A93" w:rsidRDefault="001B1A93" w:rsidP="001B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93" w:rsidRPr="001B1A93" w:rsidRDefault="001B1A93" w:rsidP="001B1A93">
    <w:pPr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B1A93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7404588" r:id="rId2"/>
      </w:object>
    </w:r>
  </w:p>
  <w:p w:rsidR="001B1A93" w:rsidRPr="001B1A93" w:rsidRDefault="001B1A93" w:rsidP="001B1A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B1A93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B1A93" w:rsidRPr="001B1A93" w:rsidRDefault="001B1A93" w:rsidP="001B1A9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B1A93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B1A93" w:rsidRDefault="001B1A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47"/>
    <w:rsid w:val="000D49F4"/>
    <w:rsid w:val="000F7050"/>
    <w:rsid w:val="00110F03"/>
    <w:rsid w:val="001400AD"/>
    <w:rsid w:val="00171846"/>
    <w:rsid w:val="001B1A93"/>
    <w:rsid w:val="00246A7E"/>
    <w:rsid w:val="002A5FA5"/>
    <w:rsid w:val="003178E6"/>
    <w:rsid w:val="003F3010"/>
    <w:rsid w:val="00405E91"/>
    <w:rsid w:val="00430917"/>
    <w:rsid w:val="004539EF"/>
    <w:rsid w:val="004655DB"/>
    <w:rsid w:val="00556DA0"/>
    <w:rsid w:val="005B54B8"/>
    <w:rsid w:val="005E6CD5"/>
    <w:rsid w:val="005F7F49"/>
    <w:rsid w:val="00635618"/>
    <w:rsid w:val="006C5F77"/>
    <w:rsid w:val="00710475"/>
    <w:rsid w:val="00710732"/>
    <w:rsid w:val="00756495"/>
    <w:rsid w:val="007A1954"/>
    <w:rsid w:val="007E1DF6"/>
    <w:rsid w:val="008060F8"/>
    <w:rsid w:val="00834F37"/>
    <w:rsid w:val="008560AE"/>
    <w:rsid w:val="008577A8"/>
    <w:rsid w:val="00861AC2"/>
    <w:rsid w:val="008B798A"/>
    <w:rsid w:val="008C5944"/>
    <w:rsid w:val="008D404C"/>
    <w:rsid w:val="00936075"/>
    <w:rsid w:val="00973EA9"/>
    <w:rsid w:val="009A74C9"/>
    <w:rsid w:val="00A20D72"/>
    <w:rsid w:val="00A53B50"/>
    <w:rsid w:val="00AE6851"/>
    <w:rsid w:val="00BF3515"/>
    <w:rsid w:val="00BF3842"/>
    <w:rsid w:val="00C35D3B"/>
    <w:rsid w:val="00C5553B"/>
    <w:rsid w:val="00C70498"/>
    <w:rsid w:val="00C7485E"/>
    <w:rsid w:val="00C75531"/>
    <w:rsid w:val="00CB4EF3"/>
    <w:rsid w:val="00CE4047"/>
    <w:rsid w:val="00D155C6"/>
    <w:rsid w:val="00D459AE"/>
    <w:rsid w:val="00D54BFE"/>
    <w:rsid w:val="00E6423D"/>
    <w:rsid w:val="00E86BD4"/>
    <w:rsid w:val="00F17266"/>
    <w:rsid w:val="00F26D7E"/>
    <w:rsid w:val="00F9252E"/>
    <w:rsid w:val="00F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E40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E4047"/>
    <w:rPr>
      <w:i/>
      <w:iCs/>
    </w:rPr>
  </w:style>
  <w:style w:type="character" w:styleId="Forte">
    <w:name w:val="Strong"/>
    <w:basedOn w:val="Fontepargpadro"/>
    <w:uiPriority w:val="22"/>
    <w:qFormat/>
    <w:rsid w:val="00CE4047"/>
    <w:rPr>
      <w:b/>
      <w:bCs/>
    </w:rPr>
  </w:style>
  <w:style w:type="paragraph" w:styleId="SemEspaamento">
    <w:name w:val="No Spacing"/>
    <w:uiPriority w:val="1"/>
    <w:qFormat/>
    <w:rsid w:val="00CE404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B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A93"/>
  </w:style>
  <w:style w:type="paragraph" w:styleId="Rodap">
    <w:name w:val="footer"/>
    <w:basedOn w:val="Normal"/>
    <w:link w:val="RodapChar"/>
    <w:uiPriority w:val="99"/>
    <w:unhideWhenUsed/>
    <w:rsid w:val="001B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A93"/>
  </w:style>
  <w:style w:type="paragraph" w:styleId="Textodebalo">
    <w:name w:val="Balloon Text"/>
    <w:basedOn w:val="Normal"/>
    <w:link w:val="TextodebaloChar"/>
    <w:uiPriority w:val="99"/>
    <w:semiHidden/>
    <w:unhideWhenUsed/>
    <w:rsid w:val="00D1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E40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E4047"/>
    <w:rPr>
      <w:i/>
      <w:iCs/>
    </w:rPr>
  </w:style>
  <w:style w:type="character" w:styleId="Forte">
    <w:name w:val="Strong"/>
    <w:basedOn w:val="Fontepargpadro"/>
    <w:uiPriority w:val="22"/>
    <w:qFormat/>
    <w:rsid w:val="00CE4047"/>
    <w:rPr>
      <w:b/>
      <w:bCs/>
    </w:rPr>
  </w:style>
  <w:style w:type="paragraph" w:styleId="SemEspaamento">
    <w:name w:val="No Spacing"/>
    <w:uiPriority w:val="1"/>
    <w:qFormat/>
    <w:rsid w:val="00CE404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B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A93"/>
  </w:style>
  <w:style w:type="paragraph" w:styleId="Rodap">
    <w:name w:val="footer"/>
    <w:basedOn w:val="Normal"/>
    <w:link w:val="RodapChar"/>
    <w:uiPriority w:val="99"/>
    <w:unhideWhenUsed/>
    <w:rsid w:val="001B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A93"/>
  </w:style>
  <w:style w:type="paragraph" w:styleId="Textodebalo">
    <w:name w:val="Balloon Text"/>
    <w:basedOn w:val="Normal"/>
    <w:link w:val="TextodebaloChar"/>
    <w:uiPriority w:val="99"/>
    <w:semiHidden/>
    <w:unhideWhenUsed/>
    <w:rsid w:val="00D1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2300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57</cp:revision>
  <cp:lastPrinted>2018-12-26T17:23:00Z</cp:lastPrinted>
  <dcterms:created xsi:type="dcterms:W3CDTF">2018-12-26T16:17:00Z</dcterms:created>
  <dcterms:modified xsi:type="dcterms:W3CDTF">2018-12-27T12:30:00Z</dcterms:modified>
</cp:coreProperties>
</file>