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B" w:rsidRPr="00A1419B" w:rsidRDefault="00A1419B" w:rsidP="00A1419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DECRETO N. 22.725, DE 5 DE ABRIL DE 2018.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419B">
        <w:rPr>
          <w:rFonts w:ascii="Times New Roman" w:hAnsi="Times New Roman" w:cs="Times New Roman"/>
          <w:sz w:val="24"/>
          <w:szCs w:val="24"/>
        </w:rPr>
        <w:t>Regulamenta a Lei Estadual nº 3.925,</w:t>
      </w:r>
      <w:bookmarkEnd w:id="0"/>
      <w:r w:rsidRPr="00A1419B">
        <w:rPr>
          <w:rFonts w:ascii="Times New Roman" w:hAnsi="Times New Roman" w:cs="Times New Roman"/>
          <w:sz w:val="24"/>
          <w:szCs w:val="24"/>
        </w:rPr>
        <w:t xml:space="preserve"> de 17 de outubro de 2016, que “Estabelece medidas compensatórias florestais para empreendimentos minerários localizados em área de Reserva Legal e dá outras providências”.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Estadual,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1419B">
        <w:rPr>
          <w:rFonts w:ascii="Times New Roman" w:hAnsi="Times New Roman" w:cs="Times New Roman"/>
          <w:sz w:val="24"/>
          <w:szCs w:val="24"/>
        </w:rPr>
        <w:t> </w:t>
      </w:r>
      <w:r w:rsidRPr="00A141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1419B">
        <w:rPr>
          <w:rFonts w:ascii="Times New Roman" w:hAnsi="Times New Roman" w:cs="Times New Roman"/>
          <w:sz w:val="24"/>
          <w:szCs w:val="24"/>
        </w:rPr>
        <w:t> </w:t>
      </w:r>
      <w:r w:rsidRPr="00A1419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1419B">
        <w:rPr>
          <w:rFonts w:ascii="Times New Roman" w:hAnsi="Times New Roman" w:cs="Times New Roman"/>
          <w:sz w:val="24"/>
          <w:szCs w:val="24"/>
        </w:rPr>
        <w:t> </w:t>
      </w:r>
      <w:r w:rsidRPr="00A1419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1419B">
        <w:rPr>
          <w:rFonts w:ascii="Times New Roman" w:hAnsi="Times New Roman" w:cs="Times New Roman"/>
          <w:sz w:val="24"/>
          <w:szCs w:val="24"/>
        </w:rPr>
        <w:t> </w:t>
      </w:r>
      <w:r w:rsidRPr="00A141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1419B">
        <w:rPr>
          <w:rFonts w:ascii="Times New Roman" w:hAnsi="Times New Roman" w:cs="Times New Roman"/>
          <w:sz w:val="24"/>
          <w:szCs w:val="24"/>
        </w:rPr>
        <w:t> </w:t>
      </w:r>
      <w:r w:rsidRPr="00A1419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1419B">
        <w:rPr>
          <w:rFonts w:ascii="Times New Roman" w:hAnsi="Times New Roman" w:cs="Times New Roman"/>
          <w:sz w:val="24"/>
          <w:szCs w:val="24"/>
        </w:rPr>
        <w:t> </w:t>
      </w:r>
      <w:r w:rsidRPr="00A1419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1419B">
        <w:rPr>
          <w:rFonts w:ascii="Times New Roman" w:hAnsi="Times New Roman" w:cs="Times New Roman"/>
          <w:sz w:val="24"/>
          <w:szCs w:val="24"/>
        </w:rPr>
        <w:t>: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Art. 1º. Todo empreendimento minerário que dependa de supressão de vegetação em área de Reserva Legal para a extração de substâncias minerais deverá, antes da emissão da respectiva autorização para supressão de vegetação, adotar, isolada ou cumulativamente, as seguintes medidas compensatórias florestais: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 - implantação de Reserva Particular do Patrimônio Natural - RPPN;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II - doação de área ao Estado de Rondônia para implantação de nova Unidade de Conservação do Grupo de Proteção Integral; e/ou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III - instituição de servidão ambiental de caráter perpétuo.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Parágrafo único. A área a ser ofertada para compensação florestal, na forma deste artigo, deverá: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 - ter dimensão 20% (vinte por cento) maior que a área de cobertura vegetal inserida em Reserva Legal a ser suprimida pelo empreendimento minerário;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II - estar localizada no mesmo bioma da área de Reserva Legal a ser compensada e, prioritariamente, na área de influência do empreendimento; e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III - estar localizada no território do Estado de Rondônia.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Art. 2º. As propostas voltadas à criação de Unidades de Conservação do Grupo de Proteção Integral serão analisadas levando-se em consideração a política de prioridades e as diretrizes técnicas estabelecidas pela Secretaria de Estado do Desenvolvimento Ambiental - SEDAM.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Art. 3º. Na hipótese de optar pela doação de área ao Estado de Rondônia para criação de nova Unidade de Conservação do Grupo de Proteção Integral, o empreendedor deverá garantir a implantação da seguinte estrutura mínima necessária à gestão da Unidade de Conservação: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 - construção de sede administrativa;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II - elaboração do Plano de Manejo; e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III - outras estruturas, a critério da SEDAM.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Art. 4º. Fica a SEDAM autorizada a expedir os atos normativos complementares que se fizerem necessários ao fiel cumprimento deste Decreto.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Art. 5º. Este Decreto entra em vigor na data de sua publicação.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Palácio do Governo do Estado de Rondônia, em 5 de abril de 2018, 130º da República.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 </w:t>
      </w:r>
    </w:p>
    <w:p w:rsidR="00A1419B" w:rsidRPr="00A1419B" w:rsidRDefault="00A1419B" w:rsidP="00A1419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CONFÚCIO AIRES MOURA</w:t>
      </w:r>
    </w:p>
    <w:p w:rsidR="00A1419B" w:rsidRPr="00A1419B" w:rsidRDefault="00A1419B" w:rsidP="00A1419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19B">
        <w:rPr>
          <w:rFonts w:ascii="Times New Roman" w:hAnsi="Times New Roman" w:cs="Times New Roman"/>
          <w:sz w:val="24"/>
          <w:szCs w:val="24"/>
        </w:rPr>
        <w:t>Governador</w:t>
      </w:r>
    </w:p>
    <w:p w:rsidR="000323D6" w:rsidRDefault="000323D6"/>
    <w:sectPr w:rsidR="00032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B"/>
    <w:rsid w:val="000323D6"/>
    <w:rsid w:val="00A1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F173-6A57-4F33-B8EE-69C4F288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1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1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A1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14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Ana Gleysa de Oliveira Guedes</cp:lastModifiedBy>
  <cp:revision>1</cp:revision>
  <dcterms:created xsi:type="dcterms:W3CDTF">2018-04-06T14:02:00Z</dcterms:created>
  <dcterms:modified xsi:type="dcterms:W3CDTF">2018-04-06T14:03:00Z</dcterms:modified>
</cp:coreProperties>
</file>