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F2" w:rsidRPr="00455FE3" w:rsidRDefault="00EE6A14" w:rsidP="008E5E7F">
      <w:pPr>
        <w:pStyle w:val="Ttulo1"/>
        <w:numPr>
          <w:ilvl w:val="0"/>
          <w:numId w:val="0"/>
        </w:numPr>
        <w:tabs>
          <w:tab w:val="left" w:pos="0"/>
        </w:tabs>
        <w:rPr>
          <w:i/>
          <w:sz w:val="22"/>
          <w:szCs w:val="22"/>
        </w:rPr>
      </w:pPr>
      <w:r w:rsidRPr="00455FE3">
        <w:rPr>
          <w:sz w:val="24"/>
          <w:szCs w:val="24"/>
        </w:rPr>
        <w:t>DECRETO N.</w:t>
      </w:r>
      <w:r w:rsidR="002F0F41">
        <w:rPr>
          <w:sz w:val="24"/>
          <w:szCs w:val="24"/>
        </w:rPr>
        <w:t xml:space="preserve"> 20.535</w:t>
      </w:r>
      <w:r w:rsidRPr="00455FE3">
        <w:rPr>
          <w:sz w:val="24"/>
          <w:szCs w:val="24"/>
        </w:rPr>
        <w:t>, DE</w:t>
      </w:r>
      <w:r w:rsidR="00455FE3">
        <w:rPr>
          <w:sz w:val="24"/>
          <w:szCs w:val="24"/>
        </w:rPr>
        <w:t xml:space="preserve"> </w:t>
      </w:r>
      <w:r w:rsidR="002F0F41">
        <w:rPr>
          <w:sz w:val="24"/>
          <w:szCs w:val="24"/>
        </w:rPr>
        <w:t xml:space="preserve">12 </w:t>
      </w:r>
      <w:r w:rsidRPr="00455FE3">
        <w:rPr>
          <w:sz w:val="24"/>
          <w:szCs w:val="24"/>
        </w:rPr>
        <w:t xml:space="preserve">DE </w:t>
      </w:r>
      <w:r w:rsidR="008E5E7F" w:rsidRPr="00455FE3">
        <w:rPr>
          <w:sz w:val="24"/>
          <w:szCs w:val="24"/>
        </w:rPr>
        <w:t>FEVEREIRO</w:t>
      </w:r>
      <w:r w:rsidR="006A2CB1" w:rsidRPr="00455FE3">
        <w:rPr>
          <w:sz w:val="24"/>
          <w:szCs w:val="24"/>
        </w:rPr>
        <w:t xml:space="preserve"> </w:t>
      </w:r>
      <w:r w:rsidR="001B03AC" w:rsidRPr="00455FE3">
        <w:rPr>
          <w:sz w:val="24"/>
          <w:szCs w:val="24"/>
        </w:rPr>
        <w:t>DE 2016</w:t>
      </w:r>
      <w:r w:rsidRPr="00455FE3">
        <w:rPr>
          <w:sz w:val="24"/>
          <w:szCs w:val="24"/>
        </w:rPr>
        <w:t>.</w:t>
      </w:r>
    </w:p>
    <w:p w:rsidR="00314206" w:rsidRPr="00455FE3" w:rsidRDefault="00314206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Default="00455FE3" w:rsidP="00EE6A14">
      <w:pPr>
        <w:pStyle w:val="Recuodecorpodetexto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Altera a redação do artigo 2º, do Decreto n. 16.985, de 8 de agosto de 2012, que “Institui a Mesa Estadual de Negociação Permanente - MENP, estabelece normas de composição, de competência, de funcionamento e dá outras </w:t>
      </w:r>
      <w:proofErr w:type="gramStart"/>
      <w:r>
        <w:rPr>
          <w:sz w:val="24"/>
          <w:szCs w:val="24"/>
        </w:rPr>
        <w:t>providências.”</w:t>
      </w:r>
      <w:proofErr w:type="gramEnd"/>
      <w:r>
        <w:rPr>
          <w:sz w:val="24"/>
          <w:szCs w:val="24"/>
        </w:rPr>
        <w:t>, e dá outras providências.</w:t>
      </w:r>
    </w:p>
    <w:p w:rsidR="00EE6A14" w:rsidRPr="00455FE3" w:rsidRDefault="00EE6A14" w:rsidP="00EE6A14">
      <w:pPr>
        <w:ind w:firstLine="567"/>
        <w:jc w:val="both"/>
        <w:rPr>
          <w:sz w:val="24"/>
          <w:szCs w:val="24"/>
        </w:rPr>
      </w:pPr>
    </w:p>
    <w:p w:rsidR="001026E2" w:rsidRPr="00455FE3" w:rsidRDefault="006206FE" w:rsidP="00EE6A14">
      <w:pPr>
        <w:ind w:firstLine="567"/>
        <w:jc w:val="both"/>
        <w:rPr>
          <w:sz w:val="24"/>
          <w:szCs w:val="24"/>
        </w:rPr>
      </w:pPr>
      <w:r w:rsidRPr="00455FE3">
        <w:rPr>
          <w:sz w:val="24"/>
          <w:szCs w:val="24"/>
        </w:rPr>
        <w:t>O GOVERNADOR DO ESTADO DE RONDÔNIA, no uso das atribuições que lhe confere o art</w:t>
      </w:r>
      <w:r w:rsidR="00EE6A14" w:rsidRPr="00455FE3">
        <w:rPr>
          <w:sz w:val="24"/>
          <w:szCs w:val="24"/>
        </w:rPr>
        <w:t>igo</w:t>
      </w:r>
      <w:r w:rsidRPr="00455FE3">
        <w:rPr>
          <w:sz w:val="24"/>
          <w:szCs w:val="24"/>
        </w:rPr>
        <w:t xml:space="preserve"> 65, inciso V, da Constituição Estadual</w:t>
      </w:r>
      <w:r w:rsidR="008D1D26" w:rsidRPr="00455FE3">
        <w:rPr>
          <w:sz w:val="24"/>
          <w:szCs w:val="24"/>
        </w:rPr>
        <w:t>,</w:t>
      </w:r>
      <w:r w:rsidR="003402F4" w:rsidRPr="00455FE3">
        <w:rPr>
          <w:sz w:val="24"/>
          <w:szCs w:val="24"/>
        </w:rPr>
        <w:t xml:space="preserve"> </w:t>
      </w:r>
    </w:p>
    <w:p w:rsidR="008E5E7F" w:rsidRPr="00455FE3" w:rsidRDefault="008E5E7F" w:rsidP="000847E6">
      <w:pPr>
        <w:ind w:firstLine="567"/>
        <w:jc w:val="both"/>
        <w:rPr>
          <w:sz w:val="24"/>
          <w:szCs w:val="24"/>
          <w:u w:val="words"/>
        </w:rPr>
      </w:pPr>
    </w:p>
    <w:p w:rsidR="000847E6" w:rsidRPr="00455FE3" w:rsidRDefault="000847E6" w:rsidP="000847E6">
      <w:pPr>
        <w:ind w:firstLine="567"/>
        <w:jc w:val="both"/>
        <w:rPr>
          <w:sz w:val="24"/>
          <w:szCs w:val="24"/>
        </w:rPr>
      </w:pPr>
      <w:r w:rsidRPr="00455FE3">
        <w:rPr>
          <w:sz w:val="24"/>
          <w:szCs w:val="24"/>
          <w:u w:val="words"/>
        </w:rPr>
        <w:t>D E C R E T A</w:t>
      </w:r>
      <w:r w:rsidRPr="00455FE3">
        <w:rPr>
          <w:sz w:val="24"/>
          <w:szCs w:val="24"/>
        </w:rPr>
        <w:t>:</w:t>
      </w:r>
    </w:p>
    <w:p w:rsidR="000847E6" w:rsidRPr="00455FE3" w:rsidRDefault="000847E6" w:rsidP="00EE6A14">
      <w:pPr>
        <w:ind w:firstLine="567"/>
        <w:jc w:val="both"/>
        <w:rPr>
          <w:sz w:val="24"/>
          <w:szCs w:val="24"/>
        </w:rPr>
      </w:pPr>
    </w:p>
    <w:p w:rsidR="008E5E7F" w:rsidRDefault="006206FE" w:rsidP="008E5E7F">
      <w:pPr>
        <w:ind w:firstLine="567"/>
        <w:jc w:val="both"/>
        <w:rPr>
          <w:sz w:val="24"/>
          <w:szCs w:val="24"/>
        </w:rPr>
      </w:pPr>
      <w:r w:rsidRPr="00455FE3">
        <w:rPr>
          <w:sz w:val="24"/>
          <w:szCs w:val="24"/>
        </w:rPr>
        <w:t xml:space="preserve">Art. </w:t>
      </w:r>
      <w:r w:rsidR="001026E2" w:rsidRPr="00455FE3">
        <w:rPr>
          <w:sz w:val="24"/>
          <w:szCs w:val="24"/>
        </w:rPr>
        <w:t>1</w:t>
      </w:r>
      <w:r w:rsidR="00FA31D8" w:rsidRPr="00455FE3">
        <w:rPr>
          <w:sz w:val="24"/>
          <w:szCs w:val="24"/>
        </w:rPr>
        <w:t>º</w:t>
      </w:r>
      <w:r w:rsidR="00EE6A14" w:rsidRPr="00455FE3">
        <w:rPr>
          <w:sz w:val="24"/>
          <w:szCs w:val="24"/>
        </w:rPr>
        <w:t>.</w:t>
      </w:r>
      <w:r w:rsidRPr="00455FE3">
        <w:rPr>
          <w:sz w:val="24"/>
          <w:szCs w:val="24"/>
        </w:rPr>
        <w:t xml:space="preserve"> </w:t>
      </w:r>
      <w:r w:rsidR="00455FE3">
        <w:rPr>
          <w:sz w:val="24"/>
          <w:szCs w:val="24"/>
        </w:rPr>
        <w:t>O artigo 2º, do Decreto n. 16.985, de 8 de agosto de 2012, passa a vigorar com a seguinte redação:</w:t>
      </w:r>
    </w:p>
    <w:p w:rsidR="00455FE3" w:rsidRDefault="00455FE3" w:rsidP="008E5E7F">
      <w:pPr>
        <w:ind w:firstLine="567"/>
        <w:jc w:val="both"/>
        <w:rPr>
          <w:sz w:val="24"/>
          <w:szCs w:val="24"/>
        </w:rPr>
      </w:pPr>
    </w:p>
    <w:p w:rsidR="00455FE3" w:rsidRDefault="00455FE3" w:rsidP="008E5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“Art. 2º. São membros permanentes na composição da Mesa Estadual de Negociação Permanente</w:t>
      </w:r>
      <w:r w:rsidR="00227553">
        <w:rPr>
          <w:sz w:val="24"/>
          <w:szCs w:val="24"/>
        </w:rPr>
        <w:t xml:space="preserve"> - MENP</w:t>
      </w:r>
      <w:r>
        <w:rPr>
          <w:sz w:val="24"/>
          <w:szCs w:val="24"/>
        </w:rPr>
        <w:t xml:space="preserve"> os representantes dos seguintes órgãos:</w:t>
      </w:r>
    </w:p>
    <w:p w:rsidR="00455FE3" w:rsidRDefault="00455FE3" w:rsidP="008E5E7F">
      <w:pPr>
        <w:ind w:firstLine="567"/>
        <w:jc w:val="both"/>
        <w:rPr>
          <w:sz w:val="24"/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E283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E2834">
        <w:rPr>
          <w:sz w:val="24"/>
          <w:szCs w:val="24"/>
        </w:rPr>
        <w:t>Secretaria de Estado do Planejamento, Orçamento e Gestão - SEPOG;</w:t>
      </w:r>
    </w:p>
    <w:p w:rsidR="00455FE3" w:rsidRDefault="00455FE3" w:rsidP="00455FE3">
      <w:pPr>
        <w:ind w:firstLine="567"/>
        <w:jc w:val="both"/>
        <w:rPr>
          <w:sz w:val="24"/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4E2834">
        <w:rPr>
          <w:sz w:val="24"/>
          <w:szCs w:val="24"/>
        </w:rPr>
        <w:t>- Secretaria de Estado de Finanças - SEFIN;</w:t>
      </w:r>
    </w:p>
    <w:p w:rsidR="00455FE3" w:rsidRDefault="00455FE3" w:rsidP="00455FE3">
      <w:pPr>
        <w:ind w:firstLine="567"/>
        <w:jc w:val="both"/>
        <w:rPr>
          <w:sz w:val="24"/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4E2834">
        <w:rPr>
          <w:sz w:val="24"/>
          <w:szCs w:val="24"/>
        </w:rPr>
        <w:t>- Procuradoria-Geral do Estado - PGE; e</w:t>
      </w:r>
    </w:p>
    <w:p w:rsidR="00455FE3" w:rsidRDefault="00455FE3" w:rsidP="00455FE3">
      <w:pPr>
        <w:ind w:firstLine="567"/>
        <w:jc w:val="both"/>
        <w:rPr>
          <w:sz w:val="24"/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="004E2834">
        <w:rPr>
          <w:sz w:val="24"/>
          <w:szCs w:val="24"/>
        </w:rPr>
        <w:t>- Superintendência Estadual de Gestão de Pessoas - SEGEP.</w:t>
      </w:r>
    </w:p>
    <w:p w:rsidR="00455FE3" w:rsidRDefault="00455FE3" w:rsidP="00455FE3">
      <w:pPr>
        <w:ind w:firstLine="567"/>
        <w:jc w:val="both"/>
        <w:rPr>
          <w:sz w:val="24"/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1º. A Mesa Estadual de Negociação Permanente - MENP será presidida pelo </w:t>
      </w:r>
      <w:r w:rsidR="004E2834">
        <w:rPr>
          <w:sz w:val="24"/>
          <w:szCs w:val="24"/>
        </w:rPr>
        <w:t>Secretário de Estado do Planejamento, Orçamento e Gestão</w:t>
      </w:r>
      <w:r>
        <w:rPr>
          <w:sz w:val="24"/>
          <w:szCs w:val="24"/>
        </w:rPr>
        <w:t>, a quem caberá a convocação dos representantes referenciados neste artigo.</w:t>
      </w:r>
    </w:p>
    <w:p w:rsidR="00455FE3" w:rsidRDefault="00455FE3" w:rsidP="00455FE3">
      <w:pPr>
        <w:ind w:firstLine="567"/>
        <w:jc w:val="both"/>
        <w:rPr>
          <w:sz w:val="24"/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2º. </w:t>
      </w:r>
      <w:r w:rsidR="001719FD">
        <w:rPr>
          <w:sz w:val="24"/>
          <w:szCs w:val="24"/>
        </w:rPr>
        <w:t>Integrarão a MENP, excepcionalmente, tantos quantos forem os Secretários da Pasta atinentes matéria discutida.”</w:t>
      </w:r>
      <w:r>
        <w:rPr>
          <w:sz w:val="24"/>
          <w:szCs w:val="24"/>
        </w:rPr>
        <w:t>.</w:t>
      </w:r>
    </w:p>
    <w:p w:rsidR="00455FE3" w:rsidRDefault="00455FE3" w:rsidP="00455FE3">
      <w:pPr>
        <w:ind w:firstLine="567"/>
        <w:jc w:val="both"/>
        <w:rPr>
          <w:sz w:val="24"/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revogado o Decreto n. 18.366, de 19 de novembro de 2013.</w:t>
      </w:r>
    </w:p>
    <w:p w:rsidR="00455FE3" w:rsidRDefault="00455FE3" w:rsidP="00455FE3">
      <w:pPr>
        <w:ind w:firstLine="567"/>
        <w:jc w:val="both"/>
        <w:rPr>
          <w:sz w:val="24"/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3º. Este Decreto entra em vigor na data de sua publicação.</w:t>
      </w:r>
    </w:p>
    <w:p w:rsidR="009C5C10" w:rsidRPr="00455FE3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55FE3">
        <w:rPr>
          <w:rFonts w:ascii="Times New Roman" w:hAnsi="Times New Roman"/>
          <w:sz w:val="24"/>
          <w:szCs w:val="24"/>
        </w:rPr>
        <w:t>Palácio do Governo do Estado de Rondônia, em</w:t>
      </w:r>
      <w:r w:rsidR="002F0F41">
        <w:rPr>
          <w:rFonts w:ascii="Times New Roman" w:hAnsi="Times New Roman"/>
          <w:sz w:val="24"/>
          <w:szCs w:val="24"/>
        </w:rPr>
        <w:t xml:space="preserve"> 12 </w:t>
      </w:r>
      <w:bookmarkStart w:id="0" w:name="_GoBack"/>
      <w:bookmarkEnd w:id="0"/>
      <w:r w:rsidRPr="00455FE3">
        <w:rPr>
          <w:rFonts w:ascii="Times New Roman" w:hAnsi="Times New Roman"/>
          <w:sz w:val="24"/>
          <w:szCs w:val="24"/>
        </w:rPr>
        <w:t xml:space="preserve">de </w:t>
      </w:r>
      <w:r w:rsidR="008E5E7F" w:rsidRPr="00455FE3">
        <w:rPr>
          <w:rFonts w:ascii="Times New Roman" w:hAnsi="Times New Roman"/>
          <w:sz w:val="24"/>
          <w:szCs w:val="24"/>
        </w:rPr>
        <w:t>feverei</w:t>
      </w:r>
      <w:r w:rsidR="00FF14AB" w:rsidRPr="00455FE3">
        <w:rPr>
          <w:rFonts w:ascii="Times New Roman" w:hAnsi="Times New Roman"/>
          <w:sz w:val="24"/>
          <w:szCs w:val="24"/>
        </w:rPr>
        <w:t>ro</w:t>
      </w:r>
      <w:r w:rsidR="001B03AC" w:rsidRPr="00455FE3">
        <w:rPr>
          <w:rFonts w:ascii="Times New Roman" w:hAnsi="Times New Roman"/>
          <w:sz w:val="24"/>
          <w:szCs w:val="24"/>
        </w:rPr>
        <w:t xml:space="preserve"> </w:t>
      </w:r>
      <w:r w:rsidRPr="00455FE3">
        <w:rPr>
          <w:rFonts w:ascii="Times New Roman" w:hAnsi="Times New Roman"/>
          <w:sz w:val="24"/>
          <w:szCs w:val="24"/>
        </w:rPr>
        <w:t>de 201</w:t>
      </w:r>
      <w:r w:rsidR="001B03AC" w:rsidRPr="00455FE3">
        <w:rPr>
          <w:rFonts w:ascii="Times New Roman" w:hAnsi="Times New Roman"/>
          <w:sz w:val="24"/>
          <w:szCs w:val="24"/>
        </w:rPr>
        <w:t>6</w:t>
      </w:r>
      <w:r w:rsidRPr="00455FE3">
        <w:rPr>
          <w:rFonts w:ascii="Times New Roman" w:hAnsi="Times New Roman"/>
          <w:sz w:val="24"/>
          <w:szCs w:val="24"/>
        </w:rPr>
        <w:t>, 12</w:t>
      </w:r>
      <w:r w:rsidR="008A7714" w:rsidRPr="00455FE3">
        <w:rPr>
          <w:rFonts w:ascii="Times New Roman" w:hAnsi="Times New Roman"/>
          <w:sz w:val="24"/>
          <w:szCs w:val="24"/>
        </w:rPr>
        <w:t>8</w:t>
      </w:r>
      <w:r w:rsidR="00FA31D8" w:rsidRPr="00455FE3">
        <w:rPr>
          <w:rFonts w:ascii="Times New Roman" w:hAnsi="Times New Roman"/>
          <w:sz w:val="24"/>
          <w:szCs w:val="24"/>
        </w:rPr>
        <w:t>º da República.</w:t>
      </w:r>
    </w:p>
    <w:p w:rsidR="00EE6A14" w:rsidRPr="00455FE3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455FE3">
        <w:rPr>
          <w:sz w:val="24"/>
          <w:szCs w:val="24"/>
        </w:rPr>
        <w:t>CONFÚCIO AIRES MOURA</w:t>
      </w:r>
    </w:p>
    <w:p w:rsidR="00EE6A14" w:rsidRPr="00455FE3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455FE3">
        <w:rPr>
          <w:sz w:val="24"/>
          <w:szCs w:val="24"/>
        </w:rPr>
        <w:t>Governador</w:t>
      </w:r>
    </w:p>
    <w:sectPr w:rsidR="00EE6A14" w:rsidRPr="00455FE3" w:rsidSect="00455FE3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94" w:rsidRDefault="00AA4E94" w:rsidP="008E695C">
      <w:r>
        <w:separator/>
      </w:r>
    </w:p>
  </w:endnote>
  <w:endnote w:type="continuationSeparator" w:id="0">
    <w:p w:rsidR="00AA4E94" w:rsidRDefault="00AA4E9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94" w:rsidRDefault="00AA4E94" w:rsidP="008E695C">
      <w:r>
        <w:separator/>
      </w:r>
    </w:p>
  </w:footnote>
  <w:footnote w:type="continuationSeparator" w:id="0">
    <w:p w:rsidR="00AA4E94" w:rsidRDefault="00AA4E9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516778162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19FD"/>
    <w:rsid w:val="00175C5D"/>
    <w:rsid w:val="001B03AC"/>
    <w:rsid w:val="001B643B"/>
    <w:rsid w:val="001C6406"/>
    <w:rsid w:val="001D0C3C"/>
    <w:rsid w:val="001F5FFB"/>
    <w:rsid w:val="0022372E"/>
    <w:rsid w:val="00227553"/>
    <w:rsid w:val="002A7A84"/>
    <w:rsid w:val="002E5709"/>
    <w:rsid w:val="002F0F41"/>
    <w:rsid w:val="00314206"/>
    <w:rsid w:val="0031638D"/>
    <w:rsid w:val="00317DDE"/>
    <w:rsid w:val="00320EB3"/>
    <w:rsid w:val="003402F4"/>
    <w:rsid w:val="003419BB"/>
    <w:rsid w:val="00341A3A"/>
    <w:rsid w:val="0035036F"/>
    <w:rsid w:val="00354D7C"/>
    <w:rsid w:val="0038159C"/>
    <w:rsid w:val="003B16B8"/>
    <w:rsid w:val="003C0396"/>
    <w:rsid w:val="003D21B2"/>
    <w:rsid w:val="003E738E"/>
    <w:rsid w:val="003F129C"/>
    <w:rsid w:val="003F400A"/>
    <w:rsid w:val="00401AC9"/>
    <w:rsid w:val="00413EE9"/>
    <w:rsid w:val="00414AF7"/>
    <w:rsid w:val="00431ECC"/>
    <w:rsid w:val="004341AA"/>
    <w:rsid w:val="0044453E"/>
    <w:rsid w:val="00445A11"/>
    <w:rsid w:val="00455507"/>
    <w:rsid w:val="00455E86"/>
    <w:rsid w:val="00455FE3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4E2834"/>
    <w:rsid w:val="00511548"/>
    <w:rsid w:val="00517259"/>
    <w:rsid w:val="00517923"/>
    <w:rsid w:val="00542310"/>
    <w:rsid w:val="00542CA1"/>
    <w:rsid w:val="005516AA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6F7AEA"/>
    <w:rsid w:val="0070585C"/>
    <w:rsid w:val="007131B0"/>
    <w:rsid w:val="00725A53"/>
    <w:rsid w:val="00742099"/>
    <w:rsid w:val="007606E8"/>
    <w:rsid w:val="00765E10"/>
    <w:rsid w:val="00781E94"/>
    <w:rsid w:val="00784067"/>
    <w:rsid w:val="00791785"/>
    <w:rsid w:val="00793758"/>
    <w:rsid w:val="007939EF"/>
    <w:rsid w:val="00797506"/>
    <w:rsid w:val="007A417D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D1D26"/>
    <w:rsid w:val="008E5E7F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A4E94"/>
    <w:rsid w:val="00AA70A2"/>
    <w:rsid w:val="00AE0DD5"/>
    <w:rsid w:val="00B4597D"/>
    <w:rsid w:val="00B500DB"/>
    <w:rsid w:val="00B625E0"/>
    <w:rsid w:val="00B63AEA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82FE3"/>
    <w:rsid w:val="00C86766"/>
    <w:rsid w:val="00C96267"/>
    <w:rsid w:val="00CA4D71"/>
    <w:rsid w:val="00CB0E5A"/>
    <w:rsid w:val="00CB2DAA"/>
    <w:rsid w:val="00CE704A"/>
    <w:rsid w:val="00CF740C"/>
    <w:rsid w:val="00D22E98"/>
    <w:rsid w:val="00D23DB1"/>
    <w:rsid w:val="00D26161"/>
    <w:rsid w:val="00D26EB1"/>
    <w:rsid w:val="00D3172E"/>
    <w:rsid w:val="00D44131"/>
    <w:rsid w:val="00D540A1"/>
    <w:rsid w:val="00D64BE9"/>
    <w:rsid w:val="00DA2F21"/>
    <w:rsid w:val="00DA34E6"/>
    <w:rsid w:val="00DC3CF2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015F3"/>
    <w:rsid w:val="00F126B2"/>
    <w:rsid w:val="00F478A6"/>
    <w:rsid w:val="00F52030"/>
    <w:rsid w:val="00F7385B"/>
    <w:rsid w:val="00F75235"/>
    <w:rsid w:val="00F81D82"/>
    <w:rsid w:val="00FA31D8"/>
    <w:rsid w:val="00FD3B5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76E120C8-7998-4F5F-97DE-E5E377B7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1AC9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4A26-3E35-4391-A33C-18320595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ditel</cp:lastModifiedBy>
  <cp:revision>6</cp:revision>
  <cp:lastPrinted>2016-02-11T11:53:00Z</cp:lastPrinted>
  <dcterms:created xsi:type="dcterms:W3CDTF">2016-02-05T16:49:00Z</dcterms:created>
  <dcterms:modified xsi:type="dcterms:W3CDTF">2016-02-12T12:30:00Z</dcterms:modified>
</cp:coreProperties>
</file>