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0" w:rsidRPr="00CC7B85" w:rsidRDefault="00EF662A" w:rsidP="00EF662A">
      <w:pPr>
        <w:pStyle w:val="Ttulo3"/>
        <w:tabs>
          <w:tab w:val="left" w:pos="4565"/>
          <w:tab w:val="left" w:pos="6120"/>
        </w:tabs>
        <w:ind w:left="720" w:firstLine="0"/>
        <w:jc w:val="left"/>
        <w:rPr>
          <w:b w:val="0"/>
        </w:rPr>
      </w:pPr>
      <w:r>
        <w:rPr>
          <w:b w:val="0"/>
        </w:rPr>
        <w:tab/>
      </w:r>
    </w:p>
    <w:p w:rsidR="00665DA0" w:rsidRPr="005F4DBD" w:rsidRDefault="00665DA0" w:rsidP="001703EE">
      <w:pPr>
        <w:pStyle w:val="Ttulo3"/>
        <w:tabs>
          <w:tab w:val="left" w:pos="567"/>
          <w:tab w:val="left" w:pos="5103"/>
          <w:tab w:val="left" w:pos="6120"/>
        </w:tabs>
        <w:ind w:firstLine="0"/>
        <w:jc w:val="center"/>
      </w:pPr>
      <w:r w:rsidRPr="005F4DBD">
        <w:rPr>
          <w:b w:val="0"/>
        </w:rPr>
        <w:t>DECRETO N.</w:t>
      </w:r>
      <w:r w:rsidR="009A091C">
        <w:rPr>
          <w:b w:val="0"/>
        </w:rPr>
        <w:t xml:space="preserve"> 20.001, </w:t>
      </w:r>
      <w:r w:rsidRPr="005F4DBD">
        <w:rPr>
          <w:b w:val="0"/>
        </w:rPr>
        <w:t>DE</w:t>
      </w:r>
      <w:r w:rsidR="009A091C">
        <w:rPr>
          <w:b w:val="0"/>
        </w:rPr>
        <w:t xml:space="preserve"> </w:t>
      </w:r>
      <w:proofErr w:type="gramStart"/>
      <w:r w:rsidR="009A091C">
        <w:rPr>
          <w:b w:val="0"/>
        </w:rPr>
        <w:t>4</w:t>
      </w:r>
      <w:proofErr w:type="gramEnd"/>
      <w:r w:rsidR="009A091C">
        <w:rPr>
          <w:b w:val="0"/>
        </w:rPr>
        <w:t xml:space="preserve"> </w:t>
      </w:r>
      <w:r w:rsidRPr="005F4DBD">
        <w:rPr>
          <w:b w:val="0"/>
        </w:rPr>
        <w:t>DE</w:t>
      </w:r>
      <w:r w:rsidR="00DE4F87">
        <w:rPr>
          <w:b w:val="0"/>
        </w:rPr>
        <w:t xml:space="preserve"> AGOSTO </w:t>
      </w:r>
      <w:r w:rsidRPr="005F4DBD">
        <w:rPr>
          <w:b w:val="0"/>
        </w:rPr>
        <w:t>DE 2015.</w:t>
      </w:r>
    </w:p>
    <w:p w:rsidR="00665DA0" w:rsidRPr="005F4DBD" w:rsidRDefault="00665DA0" w:rsidP="00665DA0">
      <w:pPr>
        <w:tabs>
          <w:tab w:val="left" w:pos="567"/>
          <w:tab w:val="left" w:pos="5103"/>
        </w:tabs>
        <w:jc w:val="both"/>
      </w:pPr>
    </w:p>
    <w:p w:rsidR="00665DA0" w:rsidRPr="001703EE" w:rsidRDefault="00E43822" w:rsidP="006B3823">
      <w:pPr>
        <w:pStyle w:val="Recuodecorpodetexto"/>
        <w:widowControl/>
        <w:ind w:left="5220"/>
        <w:rPr>
          <w:sz w:val="22"/>
          <w:szCs w:val="22"/>
        </w:rPr>
      </w:pPr>
      <w:r w:rsidRPr="001703EE">
        <w:rPr>
          <w:color w:val="00000A"/>
          <w:sz w:val="22"/>
          <w:szCs w:val="22"/>
        </w:rPr>
        <w:t xml:space="preserve">Altera </w:t>
      </w:r>
      <w:r w:rsidR="009A4A2F" w:rsidRPr="001703EE">
        <w:rPr>
          <w:color w:val="00000A"/>
          <w:sz w:val="22"/>
          <w:szCs w:val="22"/>
        </w:rPr>
        <w:t>dispositivo</w:t>
      </w:r>
      <w:r w:rsidR="006B3823" w:rsidRPr="001703EE">
        <w:rPr>
          <w:color w:val="00000A"/>
          <w:sz w:val="22"/>
          <w:szCs w:val="22"/>
        </w:rPr>
        <w:t>s</w:t>
      </w:r>
      <w:r w:rsidR="00665DA0" w:rsidRPr="001703EE">
        <w:rPr>
          <w:color w:val="00000A"/>
          <w:sz w:val="22"/>
          <w:szCs w:val="22"/>
        </w:rPr>
        <w:t xml:space="preserve"> </w:t>
      </w:r>
      <w:r w:rsidRPr="001703EE">
        <w:rPr>
          <w:color w:val="00000A"/>
          <w:sz w:val="22"/>
          <w:szCs w:val="22"/>
        </w:rPr>
        <w:t>do</w:t>
      </w:r>
      <w:r w:rsidR="00665DA0" w:rsidRPr="001703EE">
        <w:rPr>
          <w:color w:val="00000A"/>
          <w:sz w:val="22"/>
          <w:szCs w:val="22"/>
        </w:rPr>
        <w:t xml:space="preserve"> </w:t>
      </w:r>
      <w:r w:rsidR="006B3823" w:rsidRPr="001703EE">
        <w:rPr>
          <w:sz w:val="22"/>
          <w:szCs w:val="22"/>
        </w:rPr>
        <w:t xml:space="preserve">Regulamento do Imposto sobre Operações Relativas à Circulação de Mercadorias e </w:t>
      </w:r>
      <w:bookmarkStart w:id="0" w:name="_GoBack"/>
      <w:bookmarkEnd w:id="0"/>
      <w:r w:rsidR="006B3823" w:rsidRPr="001703EE">
        <w:rPr>
          <w:sz w:val="22"/>
          <w:szCs w:val="22"/>
        </w:rPr>
        <w:t>sobre Prestações de Serviço de Transporte Interestadual e Intermunicipal e de Comunicação – RICMS/RO, aprovado pelo Decreto n. 8.321, de 30 de abril de 1998.</w:t>
      </w:r>
    </w:p>
    <w:p w:rsidR="006B3823" w:rsidRPr="001703EE" w:rsidRDefault="006B3823" w:rsidP="006B3823">
      <w:pPr>
        <w:pStyle w:val="Recuodecorpodetexto"/>
        <w:widowControl/>
        <w:ind w:left="5220"/>
        <w:rPr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1703EE">
        <w:rPr>
          <w:b/>
          <w:sz w:val="22"/>
          <w:szCs w:val="22"/>
        </w:rPr>
        <w:t>O GOVERNADOR DO ESTADO DE RONDÔNIA</w:t>
      </w:r>
      <w:r w:rsidRPr="001703EE">
        <w:rPr>
          <w:sz w:val="22"/>
          <w:szCs w:val="22"/>
        </w:rPr>
        <w:t>, no uso das atribuições que lhe confere o artigo 65, inciso V, da Constituição Estadual,</w:t>
      </w:r>
      <w:r w:rsidR="005D38CC" w:rsidRPr="001703EE">
        <w:rPr>
          <w:sz w:val="22"/>
          <w:szCs w:val="22"/>
        </w:rPr>
        <w:t xml:space="preserve"> </w:t>
      </w:r>
    </w:p>
    <w:p w:rsidR="005D38CC" w:rsidRPr="001703EE" w:rsidRDefault="005D38CC" w:rsidP="00665DA0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  <w:rPr>
          <w:sz w:val="22"/>
          <w:szCs w:val="22"/>
        </w:rPr>
      </w:pPr>
      <w:r w:rsidRPr="001703EE">
        <w:rPr>
          <w:sz w:val="22"/>
          <w:szCs w:val="22"/>
          <w:u w:val="single"/>
        </w:rPr>
        <w:t>D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E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C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R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E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T</w:t>
      </w:r>
      <w:r w:rsidR="00211982" w:rsidRPr="001703EE">
        <w:rPr>
          <w:sz w:val="22"/>
          <w:szCs w:val="22"/>
        </w:rPr>
        <w:t xml:space="preserve"> </w:t>
      </w:r>
      <w:r w:rsidRPr="001703EE">
        <w:rPr>
          <w:sz w:val="22"/>
          <w:szCs w:val="22"/>
          <w:u w:val="single"/>
        </w:rPr>
        <w:t>A</w:t>
      </w:r>
      <w:r w:rsidRPr="001703EE">
        <w:rPr>
          <w:sz w:val="22"/>
          <w:szCs w:val="22"/>
        </w:rPr>
        <w:t>:</w:t>
      </w:r>
    </w:p>
    <w:p w:rsidR="00665DA0" w:rsidRPr="001703EE" w:rsidRDefault="00665DA0" w:rsidP="009A4A2F">
      <w:pPr>
        <w:overflowPunct w:val="0"/>
        <w:autoSpaceDE w:val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D06A8F" w:rsidRPr="001703EE" w:rsidRDefault="00665DA0" w:rsidP="00665DA0">
      <w:pPr>
        <w:overflowPunct w:val="0"/>
        <w:autoSpaceDE w:val="0"/>
        <w:ind w:firstLine="540"/>
        <w:jc w:val="both"/>
        <w:textAlignment w:val="baseline"/>
        <w:rPr>
          <w:sz w:val="22"/>
          <w:szCs w:val="22"/>
        </w:rPr>
      </w:pPr>
      <w:r w:rsidRPr="001703EE">
        <w:rPr>
          <w:color w:val="000000"/>
          <w:sz w:val="22"/>
          <w:szCs w:val="22"/>
          <w:shd w:val="clear" w:color="auto" w:fill="FFFFFF"/>
        </w:rPr>
        <w:t xml:space="preserve">Art. </w:t>
      </w:r>
      <w:r w:rsidR="00897193" w:rsidRPr="001703EE">
        <w:rPr>
          <w:color w:val="000000"/>
          <w:sz w:val="22"/>
          <w:szCs w:val="22"/>
          <w:shd w:val="clear" w:color="auto" w:fill="FFFFFF"/>
        </w:rPr>
        <w:t>1</w:t>
      </w:r>
      <w:r w:rsidRPr="001703EE">
        <w:rPr>
          <w:color w:val="000000"/>
          <w:sz w:val="22"/>
          <w:szCs w:val="22"/>
          <w:shd w:val="clear" w:color="auto" w:fill="FFFFFF"/>
        </w:rPr>
        <w:t xml:space="preserve">º. </w:t>
      </w:r>
      <w:r w:rsidR="009C0AC8" w:rsidRPr="001703EE">
        <w:rPr>
          <w:color w:val="000000"/>
          <w:sz w:val="22"/>
          <w:szCs w:val="22"/>
          <w:shd w:val="clear" w:color="auto" w:fill="FFFFFF"/>
        </w:rPr>
        <w:t>Passa a vigorar</w:t>
      </w:r>
      <w:r w:rsidR="007C173A" w:rsidRPr="001703EE">
        <w:rPr>
          <w:color w:val="000000"/>
          <w:sz w:val="22"/>
          <w:szCs w:val="22"/>
          <w:shd w:val="clear" w:color="auto" w:fill="FFFFFF"/>
        </w:rPr>
        <w:t xml:space="preserve">, com a seguinte redação, </w:t>
      </w:r>
      <w:r w:rsidR="00D06A8F" w:rsidRPr="001703EE">
        <w:rPr>
          <w:color w:val="000000"/>
          <w:sz w:val="22"/>
          <w:szCs w:val="22"/>
          <w:shd w:val="clear" w:color="auto" w:fill="FFFFFF"/>
        </w:rPr>
        <w:t xml:space="preserve">o </w:t>
      </w:r>
      <w:r w:rsidR="009C0AC8" w:rsidRPr="001703EE">
        <w:rPr>
          <w:color w:val="000000"/>
          <w:sz w:val="22"/>
          <w:szCs w:val="22"/>
          <w:shd w:val="clear" w:color="auto" w:fill="FFFFFF"/>
        </w:rPr>
        <w:t xml:space="preserve">inciso I do § 1º do artigo 128-A </w:t>
      </w:r>
      <w:r w:rsidR="007C173A" w:rsidRPr="001703EE">
        <w:rPr>
          <w:sz w:val="22"/>
          <w:szCs w:val="22"/>
        </w:rPr>
        <w:t>do Regulamento do Imposto sobre Operações Relativas à Circulação de Mercadorias e sobre Prestações de Serviços de Transporte</w:t>
      </w:r>
      <w:r w:rsidR="006B3823" w:rsidRPr="001703EE">
        <w:rPr>
          <w:sz w:val="22"/>
          <w:szCs w:val="22"/>
        </w:rPr>
        <w:t xml:space="preserve"> Interestadual e Intermunicipal e de Comunicação – RICMS/RO, aprovado pelo Decreto n</w:t>
      </w:r>
      <w:r w:rsidR="00B3201D" w:rsidRPr="001703EE">
        <w:rPr>
          <w:sz w:val="22"/>
          <w:szCs w:val="22"/>
        </w:rPr>
        <w:t xml:space="preserve">. 8.321, de 30 de abril de 1998, renumerando </w:t>
      </w:r>
    </w:p>
    <w:p w:rsidR="005D38CC" w:rsidRPr="001703EE" w:rsidRDefault="005D38CC" w:rsidP="00665DA0">
      <w:pPr>
        <w:overflowPunct w:val="0"/>
        <w:autoSpaceDE w:val="0"/>
        <w:ind w:firstLine="540"/>
        <w:jc w:val="both"/>
        <w:textAlignment w:val="baseline"/>
        <w:rPr>
          <w:sz w:val="22"/>
          <w:szCs w:val="22"/>
        </w:rPr>
      </w:pPr>
    </w:p>
    <w:p w:rsidR="005F4DBD" w:rsidRPr="001703EE" w:rsidRDefault="00093100" w:rsidP="00093100">
      <w:pPr>
        <w:suppressAutoHyphens w:val="0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703EE">
        <w:rPr>
          <w:color w:val="000000"/>
          <w:sz w:val="22"/>
          <w:szCs w:val="22"/>
          <w:shd w:val="clear" w:color="auto" w:fill="FFFFFF"/>
        </w:rPr>
        <w:t xml:space="preserve">“Art. </w:t>
      </w:r>
      <w:r w:rsidR="009C0AC8" w:rsidRPr="001703EE">
        <w:rPr>
          <w:color w:val="000000"/>
          <w:sz w:val="22"/>
          <w:szCs w:val="22"/>
          <w:shd w:val="clear" w:color="auto" w:fill="FFFFFF"/>
        </w:rPr>
        <w:t>128</w:t>
      </w:r>
      <w:r w:rsidR="00E656B0" w:rsidRPr="001703EE">
        <w:rPr>
          <w:color w:val="000000"/>
          <w:sz w:val="22"/>
          <w:szCs w:val="22"/>
          <w:shd w:val="clear" w:color="auto" w:fill="FFFFFF"/>
        </w:rPr>
        <w:t>-A</w:t>
      </w:r>
      <w:r w:rsidRPr="001703EE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1703EE">
        <w:rPr>
          <w:color w:val="000000"/>
          <w:sz w:val="22"/>
          <w:szCs w:val="22"/>
          <w:shd w:val="clear" w:color="auto" w:fill="FFFFFF"/>
        </w:rPr>
        <w:t xml:space="preserve"> </w:t>
      </w:r>
      <w:r w:rsidR="009C0AC8" w:rsidRPr="001703EE">
        <w:rPr>
          <w:sz w:val="22"/>
          <w:szCs w:val="22"/>
        </w:rPr>
        <w:t>Os contribuintes optantes pelo regime simplificado de tributação previsto na Lei Complementar Federal n</w:t>
      </w:r>
      <w:r w:rsidR="00A31842">
        <w:rPr>
          <w:sz w:val="22"/>
          <w:szCs w:val="22"/>
        </w:rPr>
        <w:t>.</w:t>
      </w:r>
      <w:r w:rsidR="009C0AC8" w:rsidRPr="001703EE">
        <w:rPr>
          <w:sz w:val="22"/>
          <w:szCs w:val="22"/>
        </w:rPr>
        <w:t xml:space="preserve"> 123, de 14 de dezembro de 2006, localizados no Estado de Rondônia, que desenvolvam atividade econômica de prestação de serviços de transporte rodoviário intermunicipal, interestadual ou internacional de cargas que requerem a inscrição no CAD/ICMS-RO deverão instruir o pedido com os seguintes documentos</w:t>
      </w:r>
      <w:r w:rsidRPr="001703EE">
        <w:rPr>
          <w:color w:val="000000"/>
          <w:sz w:val="22"/>
          <w:szCs w:val="22"/>
          <w:shd w:val="clear" w:color="auto" w:fill="FFFFFF"/>
        </w:rPr>
        <w:t>:</w:t>
      </w:r>
    </w:p>
    <w:p w:rsidR="00B84262" w:rsidRPr="001703EE" w:rsidRDefault="009C0AC8" w:rsidP="00FF2EC3">
      <w:pPr>
        <w:suppressAutoHyphens w:val="0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1703EE"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</w:t>
      </w:r>
      <w:r w:rsidR="00A31842">
        <w:rPr>
          <w:color w:val="000000"/>
          <w:sz w:val="22"/>
          <w:szCs w:val="22"/>
          <w:shd w:val="clear" w:color="auto" w:fill="FFFFFF"/>
        </w:rPr>
        <w:t>..............</w:t>
      </w:r>
    </w:p>
    <w:p w:rsidR="005F4DBD" w:rsidRPr="001703EE" w:rsidRDefault="005F4DBD" w:rsidP="00FF2EC3">
      <w:pPr>
        <w:suppressAutoHyphens w:val="0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B84262" w:rsidRPr="001703EE" w:rsidRDefault="00B84262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sz w:val="22"/>
          <w:szCs w:val="22"/>
        </w:rPr>
      </w:pPr>
      <w:r w:rsidRPr="001703EE">
        <w:rPr>
          <w:sz w:val="22"/>
          <w:szCs w:val="22"/>
        </w:rPr>
        <w:t>§ 1º. Os requerimentos da inscrição dos contribuintes de que trata este artigo</w:t>
      </w:r>
      <w:r w:rsidR="00A31842">
        <w:rPr>
          <w:sz w:val="22"/>
          <w:szCs w:val="22"/>
        </w:rPr>
        <w:t xml:space="preserve">: </w:t>
      </w:r>
      <w:r w:rsidRPr="001703EE">
        <w:rPr>
          <w:sz w:val="22"/>
          <w:szCs w:val="22"/>
        </w:rPr>
        <w:t xml:space="preserve">(NR dada pelo Dec. 18896, de 03.06.14 – efeitos a partir de 03.06.14) </w:t>
      </w:r>
    </w:p>
    <w:p w:rsidR="005F4DBD" w:rsidRPr="001703EE" w:rsidRDefault="00B84262" w:rsidP="00665DA0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  <w:r w:rsidRPr="001703EE">
        <w:rPr>
          <w:sz w:val="22"/>
          <w:szCs w:val="22"/>
        </w:rPr>
        <w:t>I - serão recepcionados pelas unidades de atendimento da Coordenadoria da Receita Estadual e, quando corretamente instruídos, após a diligência prevista no inciso II deste parágrafo, encaminhados para análise e homologação nas Delegacias Regionais da circunscrição fiscal do contribuinte;</w:t>
      </w:r>
    </w:p>
    <w:p w:rsidR="00FF2EC3" w:rsidRPr="001703EE" w:rsidRDefault="00FF2EC3" w:rsidP="00665DA0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  <w:proofErr w:type="gramStart"/>
      <w:r w:rsidRPr="001703E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A31842">
        <w:rPr>
          <w:sz w:val="22"/>
          <w:szCs w:val="22"/>
        </w:rPr>
        <w:t>...............</w:t>
      </w:r>
      <w:r w:rsidRPr="001703EE">
        <w:rPr>
          <w:sz w:val="22"/>
          <w:szCs w:val="22"/>
        </w:rPr>
        <w:t>.</w:t>
      </w:r>
      <w:proofErr w:type="gramEnd"/>
      <w:r w:rsidRPr="001703EE">
        <w:rPr>
          <w:sz w:val="22"/>
          <w:szCs w:val="22"/>
        </w:rPr>
        <w:t>”(NR).</w:t>
      </w:r>
    </w:p>
    <w:p w:rsidR="00B84262" w:rsidRPr="001703EE" w:rsidRDefault="00B84262" w:rsidP="00665DA0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  <w:r w:rsidRPr="001703EE">
        <w:rPr>
          <w:sz w:val="22"/>
          <w:szCs w:val="22"/>
        </w:rPr>
        <w:t xml:space="preserve"> </w:t>
      </w:r>
      <w:r w:rsidR="00BC3F48" w:rsidRPr="001703EE">
        <w:rPr>
          <w:sz w:val="22"/>
          <w:szCs w:val="22"/>
        </w:rPr>
        <w:t xml:space="preserve">Art. </w:t>
      </w:r>
      <w:r w:rsidR="00F96914" w:rsidRPr="001703EE">
        <w:rPr>
          <w:sz w:val="22"/>
          <w:szCs w:val="22"/>
        </w:rPr>
        <w:t>2</w:t>
      </w:r>
      <w:r w:rsidR="00BC3F48" w:rsidRPr="001703EE">
        <w:rPr>
          <w:sz w:val="22"/>
          <w:szCs w:val="22"/>
        </w:rPr>
        <w:t xml:space="preserve">º. </w:t>
      </w:r>
      <w:r w:rsidRPr="001703EE">
        <w:rPr>
          <w:sz w:val="22"/>
          <w:szCs w:val="22"/>
        </w:rPr>
        <w:t>Este Decreto entra em vigor na data de sua publicação</w:t>
      </w:r>
      <w:r w:rsidR="009A4A2F" w:rsidRPr="001703EE">
        <w:rPr>
          <w:sz w:val="22"/>
          <w:szCs w:val="22"/>
        </w:rPr>
        <w:t>.</w:t>
      </w:r>
    </w:p>
    <w:p w:rsidR="009A4A2F" w:rsidRPr="001703EE" w:rsidRDefault="009A4A2F" w:rsidP="00665DA0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</w:p>
    <w:p w:rsidR="00665DA0" w:rsidRPr="001703EE" w:rsidRDefault="00665DA0" w:rsidP="004848E1">
      <w:pPr>
        <w:tabs>
          <w:tab w:val="left" w:pos="567"/>
          <w:tab w:val="left" w:pos="5103"/>
        </w:tabs>
        <w:ind w:firstLine="567"/>
        <w:jc w:val="both"/>
        <w:rPr>
          <w:bCs/>
          <w:sz w:val="22"/>
          <w:szCs w:val="22"/>
        </w:rPr>
      </w:pPr>
      <w:r w:rsidRPr="001703EE">
        <w:rPr>
          <w:sz w:val="22"/>
          <w:szCs w:val="22"/>
        </w:rPr>
        <w:t>Palácio do Governo do Estado de Rondônia, em</w:t>
      </w:r>
      <w:r w:rsidR="009A091C">
        <w:rPr>
          <w:sz w:val="22"/>
          <w:szCs w:val="22"/>
        </w:rPr>
        <w:t xml:space="preserve"> </w:t>
      </w:r>
      <w:proofErr w:type="gramStart"/>
      <w:r w:rsidR="009A091C">
        <w:rPr>
          <w:sz w:val="22"/>
          <w:szCs w:val="22"/>
        </w:rPr>
        <w:t>4</w:t>
      </w:r>
      <w:proofErr w:type="gramEnd"/>
      <w:r w:rsidR="009A091C">
        <w:rPr>
          <w:sz w:val="22"/>
          <w:szCs w:val="22"/>
        </w:rPr>
        <w:t xml:space="preserve"> </w:t>
      </w:r>
      <w:r w:rsidRPr="001703EE">
        <w:rPr>
          <w:sz w:val="22"/>
          <w:szCs w:val="22"/>
        </w:rPr>
        <w:t>de</w:t>
      </w:r>
      <w:r w:rsidR="009922B0" w:rsidRPr="001703EE">
        <w:rPr>
          <w:sz w:val="22"/>
          <w:szCs w:val="22"/>
        </w:rPr>
        <w:t xml:space="preserve"> </w:t>
      </w:r>
      <w:r w:rsidR="001F3F0C">
        <w:rPr>
          <w:sz w:val="22"/>
          <w:szCs w:val="22"/>
        </w:rPr>
        <w:t>agosto</w:t>
      </w:r>
      <w:r w:rsidR="009922B0" w:rsidRPr="001703EE">
        <w:rPr>
          <w:sz w:val="22"/>
          <w:szCs w:val="22"/>
        </w:rPr>
        <w:t xml:space="preserve"> </w:t>
      </w:r>
      <w:r w:rsidR="009A4A2F" w:rsidRPr="001703EE">
        <w:rPr>
          <w:sz w:val="22"/>
          <w:szCs w:val="22"/>
        </w:rPr>
        <w:t>de 2015</w:t>
      </w:r>
      <w:r w:rsidRPr="001703EE">
        <w:rPr>
          <w:sz w:val="22"/>
          <w:szCs w:val="22"/>
        </w:rPr>
        <w:t>, 127º da República.</w:t>
      </w:r>
    </w:p>
    <w:p w:rsidR="00665DA0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  <w:sz w:val="22"/>
          <w:szCs w:val="22"/>
        </w:rPr>
      </w:pPr>
    </w:p>
    <w:p w:rsidR="00211982" w:rsidRPr="001703EE" w:rsidRDefault="00211982" w:rsidP="00665DA0">
      <w:pPr>
        <w:tabs>
          <w:tab w:val="left" w:pos="567"/>
          <w:tab w:val="left" w:pos="5103"/>
          <w:tab w:val="left" w:pos="6120"/>
        </w:tabs>
        <w:jc w:val="center"/>
        <w:rPr>
          <w:b/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  <w:sz w:val="22"/>
          <w:szCs w:val="22"/>
        </w:rPr>
      </w:pPr>
      <w:r w:rsidRPr="001703EE">
        <w:rPr>
          <w:b/>
          <w:sz w:val="22"/>
          <w:szCs w:val="22"/>
        </w:rPr>
        <w:t>CONFÚCIO AIRES MOURA</w:t>
      </w:r>
    </w:p>
    <w:p w:rsidR="00773775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Governador</w:t>
      </w:r>
    </w:p>
    <w:p w:rsidR="001703EE" w:rsidRPr="001703EE" w:rsidRDefault="001703EE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665DA0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WAGNER GARCIA DE FREITAS</w:t>
      </w:r>
    </w:p>
    <w:p w:rsidR="00FF2EC3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Secretário de Estado de Finanças</w:t>
      </w:r>
    </w:p>
    <w:p w:rsidR="00773775" w:rsidRPr="001703EE" w:rsidRDefault="00773775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FF2EC3" w:rsidRPr="001703EE" w:rsidRDefault="00FF2EC3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B84262" w:rsidRPr="001703EE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FRANCO MAEGAKI ONO</w:t>
      </w:r>
    </w:p>
    <w:p w:rsidR="005F4DBD" w:rsidRDefault="00665DA0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 xml:space="preserve">   Secretário Adjunto de Estado de Finanças</w:t>
      </w:r>
    </w:p>
    <w:p w:rsidR="005F4DBD" w:rsidRPr="001703EE" w:rsidRDefault="005F4DBD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A31842" w:rsidRPr="00A31842" w:rsidRDefault="00A31842" w:rsidP="00A31842">
      <w:pPr>
        <w:ind w:left="2976" w:firstLine="564"/>
      </w:pPr>
      <w:r>
        <w:t xml:space="preserve">    </w:t>
      </w:r>
      <w:r w:rsidRPr="00A31842">
        <w:t>César Luís Salles de Souza</w:t>
      </w:r>
    </w:p>
    <w:p w:rsidR="00687DD8" w:rsidRPr="001703EE" w:rsidRDefault="00665DA0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1703EE">
        <w:rPr>
          <w:sz w:val="22"/>
          <w:szCs w:val="22"/>
        </w:rPr>
        <w:t>Coordenador</w:t>
      </w:r>
      <w:r w:rsidR="001703EE">
        <w:rPr>
          <w:sz w:val="22"/>
          <w:szCs w:val="22"/>
        </w:rPr>
        <w:t xml:space="preserve"> </w:t>
      </w:r>
      <w:r w:rsidRPr="001703EE">
        <w:rPr>
          <w:sz w:val="22"/>
          <w:szCs w:val="22"/>
        </w:rPr>
        <w:t xml:space="preserve">Geral da Receita Estadual </w:t>
      </w:r>
      <w:r w:rsidR="00A31842">
        <w:rPr>
          <w:sz w:val="22"/>
          <w:szCs w:val="22"/>
        </w:rPr>
        <w:t>- Substituto</w:t>
      </w:r>
      <w:r w:rsidRPr="001703EE">
        <w:rPr>
          <w:sz w:val="22"/>
          <w:szCs w:val="22"/>
        </w:rPr>
        <w:t xml:space="preserve">  </w:t>
      </w:r>
    </w:p>
    <w:p w:rsidR="003629D3" w:rsidRPr="001703EE" w:rsidRDefault="003629D3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3629D3" w:rsidRPr="001703EE" w:rsidRDefault="003629D3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3629D3" w:rsidRPr="001703EE" w:rsidRDefault="003629D3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3629D3" w:rsidRPr="001703EE" w:rsidRDefault="003629D3" w:rsidP="009A4A2F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sectPr w:rsidR="003629D3" w:rsidSect="00145592">
      <w:headerReference w:type="default" r:id="rId8"/>
      <w:footerReference w:type="default" r:id="rId9"/>
      <w:pgSz w:w="11906" w:h="16838" w:code="9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E" w:rsidRDefault="0037485E" w:rsidP="00665DA0">
      <w:r>
        <w:separator/>
      </w:r>
    </w:p>
  </w:endnote>
  <w:endnote w:type="continuationSeparator" w:id="0">
    <w:p w:rsidR="0037485E" w:rsidRDefault="0037485E" w:rsidP="006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92" w:rsidRDefault="00145592">
    <w:pPr>
      <w:pStyle w:val="Rodap"/>
      <w:jc w:val="right"/>
    </w:pPr>
  </w:p>
  <w:p w:rsidR="00145592" w:rsidRDefault="001455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E" w:rsidRDefault="0037485E" w:rsidP="00665DA0">
      <w:r>
        <w:separator/>
      </w:r>
    </w:p>
  </w:footnote>
  <w:footnote w:type="continuationSeparator" w:id="0">
    <w:p w:rsidR="0037485E" w:rsidRDefault="0037485E" w:rsidP="0066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0" w:rsidRDefault="00665DA0" w:rsidP="00665DA0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pt" o:ole="" filled="t">
          <v:fill color2="black"/>
          <v:imagedata r:id="rId1" o:title=""/>
        </v:shape>
        <o:OLEObject Type="Embed" ProgID="Word.Picture.8" ShapeID="_x0000_i1025" DrawAspect="Content" ObjectID="_1500185352" r:id="rId2"/>
      </w:object>
    </w:r>
  </w:p>
  <w:p w:rsidR="00665DA0" w:rsidRPr="00EF662A" w:rsidRDefault="00665DA0" w:rsidP="00665DA0">
    <w:pPr>
      <w:pStyle w:val="Cabealho"/>
      <w:jc w:val="center"/>
      <w:rPr>
        <w:sz w:val="23"/>
        <w:szCs w:val="23"/>
      </w:rPr>
    </w:pPr>
    <w:r w:rsidRPr="00EF662A">
      <w:rPr>
        <w:b/>
        <w:sz w:val="23"/>
        <w:szCs w:val="23"/>
      </w:rPr>
      <w:t>GOVERNO DO ESTADO DE RONDÔNIA</w:t>
    </w:r>
  </w:p>
  <w:p w:rsidR="00145592" w:rsidRDefault="00665DA0" w:rsidP="009A4A2F">
    <w:pPr>
      <w:pStyle w:val="Ttulo4"/>
    </w:pPr>
    <w:r w:rsidRPr="00EF662A">
      <w:rPr>
        <w:sz w:val="23"/>
        <w:szCs w:val="23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3E5"/>
    <w:multiLevelType w:val="hybridMultilevel"/>
    <w:tmpl w:val="F7564B0E"/>
    <w:lvl w:ilvl="0" w:tplc="D38071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9A1F8B"/>
    <w:multiLevelType w:val="hybridMultilevel"/>
    <w:tmpl w:val="A4BA007A"/>
    <w:lvl w:ilvl="0" w:tplc="2DE61E0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0"/>
    <w:rsid w:val="00002451"/>
    <w:rsid w:val="000201BE"/>
    <w:rsid w:val="00040C0C"/>
    <w:rsid w:val="00093100"/>
    <w:rsid w:val="000C2CDD"/>
    <w:rsid w:val="000E27B7"/>
    <w:rsid w:val="000F7435"/>
    <w:rsid w:val="00120C7D"/>
    <w:rsid w:val="00141C2C"/>
    <w:rsid w:val="00145592"/>
    <w:rsid w:val="001703EE"/>
    <w:rsid w:val="00177D76"/>
    <w:rsid w:val="001D2A2C"/>
    <w:rsid w:val="001E457D"/>
    <w:rsid w:val="001F3F0C"/>
    <w:rsid w:val="00205C7C"/>
    <w:rsid w:val="00211982"/>
    <w:rsid w:val="00260F23"/>
    <w:rsid w:val="0027285D"/>
    <w:rsid w:val="002A1F60"/>
    <w:rsid w:val="002C6D82"/>
    <w:rsid w:val="002F6013"/>
    <w:rsid w:val="003629D3"/>
    <w:rsid w:val="0037485E"/>
    <w:rsid w:val="003E2F98"/>
    <w:rsid w:val="003F5973"/>
    <w:rsid w:val="00456009"/>
    <w:rsid w:val="00473BD0"/>
    <w:rsid w:val="004848E1"/>
    <w:rsid w:val="004A6302"/>
    <w:rsid w:val="005423DA"/>
    <w:rsid w:val="0058174A"/>
    <w:rsid w:val="00584164"/>
    <w:rsid w:val="00586055"/>
    <w:rsid w:val="005D38CC"/>
    <w:rsid w:val="005D4AE4"/>
    <w:rsid w:val="005E228F"/>
    <w:rsid w:val="005F4DBD"/>
    <w:rsid w:val="0061054A"/>
    <w:rsid w:val="006212B7"/>
    <w:rsid w:val="00665DA0"/>
    <w:rsid w:val="00687DD8"/>
    <w:rsid w:val="00696CB5"/>
    <w:rsid w:val="006A7BF1"/>
    <w:rsid w:val="006B3823"/>
    <w:rsid w:val="006C391A"/>
    <w:rsid w:val="006E306B"/>
    <w:rsid w:val="007224F6"/>
    <w:rsid w:val="00726D15"/>
    <w:rsid w:val="00773775"/>
    <w:rsid w:val="00785620"/>
    <w:rsid w:val="007868D9"/>
    <w:rsid w:val="007C173A"/>
    <w:rsid w:val="00821856"/>
    <w:rsid w:val="00845A42"/>
    <w:rsid w:val="00852A03"/>
    <w:rsid w:val="00897193"/>
    <w:rsid w:val="008A6DE0"/>
    <w:rsid w:val="0090569C"/>
    <w:rsid w:val="009254A8"/>
    <w:rsid w:val="00931D7F"/>
    <w:rsid w:val="009421DF"/>
    <w:rsid w:val="009811F3"/>
    <w:rsid w:val="009922B0"/>
    <w:rsid w:val="009A091C"/>
    <w:rsid w:val="009A4A2F"/>
    <w:rsid w:val="009B3D9F"/>
    <w:rsid w:val="009C0AC8"/>
    <w:rsid w:val="009C500D"/>
    <w:rsid w:val="00A034E7"/>
    <w:rsid w:val="00A31842"/>
    <w:rsid w:val="00A61A93"/>
    <w:rsid w:val="00AD300F"/>
    <w:rsid w:val="00B3201D"/>
    <w:rsid w:val="00B84262"/>
    <w:rsid w:val="00B86B7D"/>
    <w:rsid w:val="00BC3F48"/>
    <w:rsid w:val="00C671CB"/>
    <w:rsid w:val="00CC4262"/>
    <w:rsid w:val="00CC43B6"/>
    <w:rsid w:val="00D00F70"/>
    <w:rsid w:val="00D06A8F"/>
    <w:rsid w:val="00D15A4D"/>
    <w:rsid w:val="00D4379A"/>
    <w:rsid w:val="00DE4F87"/>
    <w:rsid w:val="00E20F71"/>
    <w:rsid w:val="00E43822"/>
    <w:rsid w:val="00E43D5E"/>
    <w:rsid w:val="00E61B5D"/>
    <w:rsid w:val="00E656B0"/>
    <w:rsid w:val="00E756B5"/>
    <w:rsid w:val="00EB4F04"/>
    <w:rsid w:val="00EC7F62"/>
    <w:rsid w:val="00EF662A"/>
    <w:rsid w:val="00F8727E"/>
    <w:rsid w:val="00F96914"/>
    <w:rsid w:val="00FB7AC1"/>
    <w:rsid w:val="00FF15EB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3100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62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3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3100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62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3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Maria Auxiliadora dos Santos</cp:lastModifiedBy>
  <cp:revision>6</cp:revision>
  <cp:lastPrinted>2015-07-07T17:06:00Z</cp:lastPrinted>
  <dcterms:created xsi:type="dcterms:W3CDTF">2015-07-31T15:12:00Z</dcterms:created>
  <dcterms:modified xsi:type="dcterms:W3CDTF">2015-08-04T13:23:00Z</dcterms:modified>
</cp:coreProperties>
</file>