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bookmarkStart w:id="0" w:name="_GoBack"/>
      <w:bookmarkEnd w:id="0"/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4C2585">
        <w:rPr>
          <w:b w:val="0"/>
        </w:rPr>
        <w:t xml:space="preserve"> 19.860</w:t>
      </w:r>
      <w:r w:rsidRPr="00F60FB0">
        <w:rPr>
          <w:b w:val="0"/>
        </w:rPr>
        <w:t>, DE</w:t>
      </w:r>
      <w:r w:rsidR="004C2585">
        <w:rPr>
          <w:b w:val="0"/>
        </w:rPr>
        <w:t xml:space="preserve"> </w:t>
      </w:r>
      <w:proofErr w:type="gramStart"/>
      <w:r w:rsidR="004C2585">
        <w:rPr>
          <w:b w:val="0"/>
        </w:rPr>
        <w:t>2</w:t>
      </w:r>
      <w:proofErr w:type="gramEnd"/>
      <w:r w:rsidR="004C2585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4C2585">
        <w:rPr>
          <w:b w:val="0"/>
        </w:rPr>
        <w:t xml:space="preserve"> JUNHO </w:t>
      </w:r>
      <w:r w:rsidR="00A304E3" w:rsidRPr="00F60FB0">
        <w:rPr>
          <w:b w:val="0"/>
        </w:rPr>
        <w:t>DE 201</w:t>
      </w:r>
      <w:r w:rsidR="00E55037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E55037" w:rsidRDefault="00E55037" w:rsidP="002B1B04">
      <w:pPr>
        <w:ind w:left="5103"/>
        <w:jc w:val="both"/>
        <w:rPr>
          <w:lang w:eastAsia="ar-SA"/>
        </w:rPr>
      </w:pPr>
    </w:p>
    <w:p w:rsidR="0084229A" w:rsidRDefault="00BA76CA" w:rsidP="00B37C6C">
      <w:pPr>
        <w:ind w:left="5103"/>
        <w:jc w:val="both"/>
      </w:pPr>
      <w:r>
        <w:t>Dispõe sobre o</w:t>
      </w:r>
      <w:r w:rsidR="00B37C6C">
        <w:t xml:space="preserve"> Decreto n. 19.793, de 28 de abril de 2015 que “</w:t>
      </w:r>
      <w:r w:rsidR="00E55037">
        <w:t>Extingue Grupos Especiais de Trabalho</w:t>
      </w:r>
      <w:r w:rsidR="00B37C6C">
        <w:t>”</w:t>
      </w:r>
      <w:r w:rsidR="001502C5">
        <w:t>, e dá outras providências</w:t>
      </w:r>
      <w:r w:rsidR="00BF7C0B" w:rsidRPr="004744FA">
        <w:t xml:space="preserve">. </w:t>
      </w:r>
    </w:p>
    <w:p w:rsidR="00946936" w:rsidRDefault="00946936" w:rsidP="00946936">
      <w:pPr>
        <w:ind w:left="5103"/>
        <w:jc w:val="both"/>
      </w:pPr>
    </w:p>
    <w:p w:rsidR="00E55037" w:rsidRDefault="00E55037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7C6C" w:rsidRDefault="00E5503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B37C6C">
        <w:t>O artigo 1º do Decreto n. 19.793, de 28 de abril de 2015 que “Extingue Grupos Especiais de Trabalho”, passa a vigorar conforme segue:</w:t>
      </w:r>
    </w:p>
    <w:p w:rsidR="00B37C6C" w:rsidRDefault="00B37C6C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55037" w:rsidRDefault="00B37C6C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“</w:t>
      </w:r>
      <w:r w:rsidR="008C3CE5">
        <w:t>Art. 1º.</w:t>
      </w:r>
      <w:proofErr w:type="gramEnd"/>
      <w:r>
        <w:t xml:space="preserve"> </w:t>
      </w:r>
      <w:r w:rsidR="00E55037">
        <w:t xml:space="preserve">Ficam extintos, a partir de 1º de maio de 2015, os Grupos Especiais de Trabalho constituídos pelos Decretos </w:t>
      </w:r>
      <w:r w:rsidR="00E55037" w:rsidRPr="00E55037">
        <w:t>n. 17.711, de 25 de março de 2013</w:t>
      </w:r>
      <w:r w:rsidR="00E55037">
        <w:t>, n. 19.418, de 30 de dezembro de 2014, e n. 19.445, de 15 de janeiro de 2015.</w:t>
      </w:r>
    </w:p>
    <w:p w:rsidR="00BA76CA" w:rsidRDefault="00BA76CA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A76CA" w:rsidRDefault="00BA76CA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</w:t>
      </w:r>
      <w:proofErr w:type="gramStart"/>
      <w:r>
        <w:t xml:space="preserve">A partir de 1º de junho de 2015, fica extinto o </w:t>
      </w:r>
      <w:r w:rsidR="000C7722">
        <w:t xml:space="preserve">Grupo de Trabalho instituído pelo </w:t>
      </w:r>
      <w:r>
        <w:t>Decreto n.</w:t>
      </w:r>
      <w:r w:rsidR="000C7722">
        <w:t xml:space="preserve"> 1</w:t>
      </w:r>
      <w:r>
        <w:t>7.907, de 11 de junho de 2013</w:t>
      </w:r>
      <w:r w:rsidR="00377845">
        <w:t>.”</w:t>
      </w:r>
      <w:proofErr w:type="gramEnd"/>
    </w:p>
    <w:p w:rsidR="00BA76CA" w:rsidRDefault="00BA76CA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55037" w:rsidRDefault="00E5503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Este Decreto entra em vigor na data de sua publicação.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4C2585">
        <w:rPr>
          <w:color w:val="auto"/>
          <w:sz w:val="24"/>
          <w:szCs w:val="24"/>
        </w:rPr>
        <w:t xml:space="preserve"> </w:t>
      </w:r>
      <w:proofErr w:type="gramStart"/>
      <w:r w:rsidR="004C2585">
        <w:rPr>
          <w:color w:val="auto"/>
          <w:sz w:val="24"/>
          <w:szCs w:val="24"/>
        </w:rPr>
        <w:t>2</w:t>
      </w:r>
      <w:proofErr w:type="gramEnd"/>
      <w:r w:rsidR="004C2585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4C2585">
        <w:rPr>
          <w:color w:val="auto"/>
          <w:sz w:val="24"/>
          <w:szCs w:val="24"/>
        </w:rPr>
        <w:t xml:space="preserve"> junho </w:t>
      </w:r>
      <w:r w:rsidRPr="00F60FB0">
        <w:rPr>
          <w:color w:val="auto"/>
          <w:sz w:val="24"/>
          <w:szCs w:val="24"/>
        </w:rPr>
        <w:t>de 201</w:t>
      </w:r>
      <w:r w:rsidR="00E55037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E55037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A3" w:rsidRDefault="005866A3">
      <w:r>
        <w:separator/>
      </w:r>
    </w:p>
  </w:endnote>
  <w:endnote w:type="continuationSeparator" w:id="0">
    <w:p w:rsidR="005866A3" w:rsidRDefault="005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A3" w:rsidRDefault="005866A3">
      <w:r>
        <w:separator/>
      </w:r>
    </w:p>
  </w:footnote>
  <w:footnote w:type="continuationSeparator" w:id="0">
    <w:p w:rsidR="005866A3" w:rsidRDefault="0058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474772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84B8D"/>
    <w:rsid w:val="000A50CB"/>
    <w:rsid w:val="000B2DC3"/>
    <w:rsid w:val="000C7722"/>
    <w:rsid w:val="000D24B3"/>
    <w:rsid w:val="000F21A3"/>
    <w:rsid w:val="00103E84"/>
    <w:rsid w:val="00132509"/>
    <w:rsid w:val="001502C5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77845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C2585"/>
    <w:rsid w:val="004D774A"/>
    <w:rsid w:val="004E41AD"/>
    <w:rsid w:val="004E4BFD"/>
    <w:rsid w:val="005406BF"/>
    <w:rsid w:val="00570EAE"/>
    <w:rsid w:val="005866A3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C3CE5"/>
    <w:rsid w:val="008D0AF5"/>
    <w:rsid w:val="009142EC"/>
    <w:rsid w:val="0092585D"/>
    <w:rsid w:val="00946936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0488"/>
    <w:rsid w:val="00B16F0C"/>
    <w:rsid w:val="00B27B4A"/>
    <w:rsid w:val="00B37C6C"/>
    <w:rsid w:val="00B45844"/>
    <w:rsid w:val="00B5010D"/>
    <w:rsid w:val="00B777EE"/>
    <w:rsid w:val="00B91D80"/>
    <w:rsid w:val="00BA76CA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316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5037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Ingra Correia Maranha</cp:lastModifiedBy>
  <cp:revision>2</cp:revision>
  <cp:lastPrinted>2015-04-28T13:34:00Z</cp:lastPrinted>
  <dcterms:created xsi:type="dcterms:W3CDTF">2015-06-02T14:56:00Z</dcterms:created>
  <dcterms:modified xsi:type="dcterms:W3CDTF">2015-06-02T14:56:00Z</dcterms:modified>
</cp:coreProperties>
</file>