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8F7" w:rsidRPr="00931CB0" w:rsidRDefault="004D38F7">
      <w:pPr>
        <w:pStyle w:val="Ttulo3"/>
        <w:tabs>
          <w:tab w:val="left" w:pos="6120"/>
        </w:tabs>
        <w:ind w:left="720" w:firstLine="0"/>
        <w:jc w:val="center"/>
        <w:rPr>
          <w:b w:val="0"/>
          <w:sz w:val="23"/>
          <w:szCs w:val="23"/>
        </w:rPr>
      </w:pPr>
    </w:p>
    <w:p w:rsidR="009D4427" w:rsidRDefault="00E202E8" w:rsidP="005A1530">
      <w:pPr>
        <w:pStyle w:val="Ttulo3"/>
        <w:tabs>
          <w:tab w:val="left" w:pos="567"/>
          <w:tab w:val="left" w:pos="5103"/>
          <w:tab w:val="left" w:pos="6120"/>
        </w:tabs>
        <w:ind w:left="720" w:firstLine="0"/>
        <w:jc w:val="center"/>
        <w:rPr>
          <w:b w:val="0"/>
          <w:sz w:val="22"/>
          <w:szCs w:val="22"/>
        </w:rPr>
      </w:pPr>
      <w:r w:rsidRPr="005A1530">
        <w:rPr>
          <w:b w:val="0"/>
          <w:sz w:val="22"/>
          <w:szCs w:val="22"/>
        </w:rPr>
        <w:t>DECRETO N</w:t>
      </w:r>
      <w:r w:rsidR="00AB133E" w:rsidRPr="005A1530">
        <w:rPr>
          <w:b w:val="0"/>
          <w:sz w:val="22"/>
          <w:szCs w:val="22"/>
        </w:rPr>
        <w:t>.</w:t>
      </w:r>
      <w:r w:rsidR="00AB2217">
        <w:rPr>
          <w:b w:val="0"/>
          <w:sz w:val="22"/>
          <w:szCs w:val="22"/>
        </w:rPr>
        <w:t xml:space="preserve"> 18.722</w:t>
      </w:r>
      <w:bookmarkStart w:id="0" w:name="_GoBack"/>
      <w:bookmarkEnd w:id="0"/>
      <w:r w:rsidR="00AB2217">
        <w:rPr>
          <w:b w:val="0"/>
          <w:sz w:val="22"/>
          <w:szCs w:val="22"/>
        </w:rPr>
        <w:t>,</w:t>
      </w:r>
      <w:r w:rsidR="000D2E0A" w:rsidRPr="005A1530">
        <w:rPr>
          <w:b w:val="0"/>
          <w:sz w:val="22"/>
          <w:szCs w:val="22"/>
        </w:rPr>
        <w:t xml:space="preserve"> </w:t>
      </w:r>
      <w:r w:rsidRPr="005A1530">
        <w:rPr>
          <w:b w:val="0"/>
          <w:sz w:val="22"/>
          <w:szCs w:val="22"/>
        </w:rPr>
        <w:t>DE</w:t>
      </w:r>
      <w:r w:rsidR="00AB2217">
        <w:rPr>
          <w:b w:val="0"/>
          <w:sz w:val="22"/>
          <w:szCs w:val="22"/>
        </w:rPr>
        <w:t xml:space="preserve"> 27 </w:t>
      </w:r>
      <w:r w:rsidRPr="005A1530">
        <w:rPr>
          <w:b w:val="0"/>
          <w:sz w:val="22"/>
          <w:szCs w:val="22"/>
        </w:rPr>
        <w:t>DE</w:t>
      </w:r>
      <w:r w:rsidR="00AB2217">
        <w:rPr>
          <w:b w:val="0"/>
          <w:sz w:val="22"/>
          <w:szCs w:val="22"/>
        </w:rPr>
        <w:t xml:space="preserve"> MARÇO </w:t>
      </w:r>
      <w:r w:rsidRPr="005A1530">
        <w:rPr>
          <w:b w:val="0"/>
          <w:sz w:val="22"/>
          <w:szCs w:val="22"/>
        </w:rPr>
        <w:t>DE 201</w:t>
      </w:r>
      <w:r w:rsidR="009D4427" w:rsidRPr="005A1530">
        <w:rPr>
          <w:b w:val="0"/>
          <w:sz w:val="22"/>
          <w:szCs w:val="22"/>
        </w:rPr>
        <w:t>4</w:t>
      </w:r>
      <w:r w:rsidR="00CE195B" w:rsidRPr="005A1530">
        <w:rPr>
          <w:b w:val="0"/>
          <w:sz w:val="22"/>
          <w:szCs w:val="22"/>
        </w:rPr>
        <w:t>.</w:t>
      </w:r>
    </w:p>
    <w:p w:rsidR="000E71D4" w:rsidRPr="000E71D4" w:rsidRDefault="000E71D4" w:rsidP="000E71D4"/>
    <w:p w:rsidR="00E202E8" w:rsidRPr="005A1530" w:rsidRDefault="00E202E8" w:rsidP="005C2BC8">
      <w:pPr>
        <w:tabs>
          <w:tab w:val="left" w:pos="567"/>
          <w:tab w:val="left" w:pos="5103"/>
        </w:tabs>
        <w:jc w:val="both"/>
        <w:rPr>
          <w:sz w:val="22"/>
          <w:szCs w:val="22"/>
        </w:rPr>
      </w:pPr>
    </w:p>
    <w:p w:rsidR="004D38F7" w:rsidRDefault="000E71D4" w:rsidP="005C2BC8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</w:pPr>
      <w:r>
        <w:t>Altera dispositivos do Regulamento do Imposto sobre Operações Relativas à Circulação de Mercadorias e sobre Prestações de Serviços de Transporte Interestadual e Intermunicipal e de Comunicação – RICMS/RO, aprovado pelo Decreto n. 8.321, de 30 de abril de 1998, que dispõe acerca do regime de substituição tributária nas operações com produtos farmacêuticos</w:t>
      </w:r>
      <w:r w:rsidR="00DD412E">
        <w:t>.</w:t>
      </w:r>
    </w:p>
    <w:p w:rsidR="000E71D4" w:rsidRDefault="000E71D4" w:rsidP="005C2BC8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</w:pPr>
    </w:p>
    <w:p w:rsidR="000E71D4" w:rsidRPr="005A1530" w:rsidRDefault="000E71D4" w:rsidP="005C2BC8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  <w:rPr>
          <w:sz w:val="22"/>
          <w:szCs w:val="22"/>
        </w:rPr>
      </w:pPr>
    </w:p>
    <w:p w:rsidR="000E71D4" w:rsidRPr="005563E9" w:rsidRDefault="004D38F7" w:rsidP="005C2BC8">
      <w:pPr>
        <w:tabs>
          <w:tab w:val="left" w:pos="567"/>
          <w:tab w:val="left" w:pos="5103"/>
        </w:tabs>
        <w:ind w:firstLine="495"/>
        <w:jc w:val="both"/>
      </w:pPr>
      <w:r w:rsidRPr="005563E9">
        <w:t>O GOVERNADOR DO ESTADO DE RONDÔNIA, no uso das atribuições que lhe confere o artigo 65, inc</w:t>
      </w:r>
      <w:r w:rsidR="00D55D43" w:rsidRPr="005563E9">
        <w:t>i</w:t>
      </w:r>
      <w:r w:rsidR="00101213" w:rsidRPr="005563E9">
        <w:t>s</w:t>
      </w:r>
      <w:r w:rsidR="00B12D59" w:rsidRPr="005563E9">
        <w:t xml:space="preserve">o V, da Constituição Estadual, </w:t>
      </w:r>
    </w:p>
    <w:p w:rsidR="00C63265" w:rsidRPr="005563E9" w:rsidRDefault="00C63265" w:rsidP="005C2BC8">
      <w:pPr>
        <w:tabs>
          <w:tab w:val="left" w:pos="567"/>
          <w:tab w:val="left" w:pos="5103"/>
        </w:tabs>
        <w:ind w:firstLine="495"/>
        <w:jc w:val="both"/>
      </w:pPr>
    </w:p>
    <w:p w:rsidR="000E71D4" w:rsidRPr="005563E9" w:rsidRDefault="00B037B0" w:rsidP="00415CBF">
      <w:pPr>
        <w:tabs>
          <w:tab w:val="left" w:pos="567"/>
          <w:tab w:val="left" w:pos="5103"/>
        </w:tabs>
        <w:ind w:firstLine="495"/>
        <w:jc w:val="both"/>
      </w:pPr>
      <w:r w:rsidRPr="005563E9">
        <w:rPr>
          <w:u w:val="single"/>
        </w:rPr>
        <w:t>D</w:t>
      </w:r>
      <w:r w:rsidRPr="005563E9">
        <w:t xml:space="preserve"> </w:t>
      </w:r>
      <w:r w:rsidRPr="005563E9">
        <w:rPr>
          <w:u w:val="single"/>
        </w:rPr>
        <w:t>E</w:t>
      </w:r>
      <w:r w:rsidRPr="005563E9">
        <w:t xml:space="preserve"> </w:t>
      </w:r>
      <w:r w:rsidRPr="005563E9">
        <w:rPr>
          <w:u w:val="single"/>
        </w:rPr>
        <w:t>C</w:t>
      </w:r>
      <w:r w:rsidRPr="005563E9">
        <w:t xml:space="preserve"> </w:t>
      </w:r>
      <w:r w:rsidRPr="005563E9">
        <w:rPr>
          <w:u w:val="single"/>
        </w:rPr>
        <w:t>R</w:t>
      </w:r>
      <w:r w:rsidRPr="005563E9">
        <w:t xml:space="preserve"> </w:t>
      </w:r>
      <w:r w:rsidRPr="005563E9">
        <w:rPr>
          <w:u w:val="single"/>
        </w:rPr>
        <w:t>E</w:t>
      </w:r>
      <w:r w:rsidRPr="005563E9">
        <w:t xml:space="preserve"> </w:t>
      </w:r>
      <w:r w:rsidRPr="005563E9">
        <w:rPr>
          <w:u w:val="single"/>
        </w:rPr>
        <w:t>T</w:t>
      </w:r>
      <w:r w:rsidRPr="005563E9">
        <w:t xml:space="preserve"> </w:t>
      </w:r>
      <w:r w:rsidRPr="005563E9">
        <w:rPr>
          <w:u w:val="single"/>
        </w:rPr>
        <w:t>A</w:t>
      </w:r>
      <w:r w:rsidRPr="005563E9">
        <w:t>:</w:t>
      </w:r>
    </w:p>
    <w:p w:rsidR="000E71D4" w:rsidRPr="005563E9" w:rsidRDefault="000E71D4" w:rsidP="00415CBF">
      <w:pPr>
        <w:tabs>
          <w:tab w:val="left" w:pos="567"/>
          <w:tab w:val="left" w:pos="5103"/>
        </w:tabs>
        <w:ind w:firstLine="495"/>
        <w:jc w:val="both"/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t>Art. 1º Ficam acrescentados os dispositivos adiante enumerados ao Regulamento do Imposto sobre Operações Relativas à Circulação de Mercadorias e sobre Prestações de Serviços de Transporte Interestadual e Intermunicipal e de Comunicação – RICMS/RO, aprovado pelo Decreto nº 8321, de 1998:</w:t>
      </w:r>
      <w:r w:rsidRPr="00894543">
        <w:cr/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rPr>
          <w:rFonts w:eastAsia="Arial"/>
        </w:rPr>
        <w:t xml:space="preserve">I – o item </w:t>
      </w:r>
      <w:proofErr w:type="gramStart"/>
      <w:r w:rsidRPr="00894543">
        <w:rPr>
          <w:rFonts w:eastAsia="Arial"/>
        </w:rPr>
        <w:t>4</w:t>
      </w:r>
      <w:proofErr w:type="gramEnd"/>
      <w:r w:rsidRPr="00894543">
        <w:rPr>
          <w:rFonts w:eastAsia="Arial"/>
        </w:rPr>
        <w:t xml:space="preserve"> à alínea </w:t>
      </w:r>
      <w:r w:rsidR="007875FE">
        <w:rPr>
          <w:rFonts w:eastAsia="Arial"/>
        </w:rPr>
        <w:t>“</w:t>
      </w:r>
      <w:r w:rsidRPr="00894543">
        <w:rPr>
          <w:rFonts w:eastAsia="Arial"/>
        </w:rPr>
        <w:t>a</w:t>
      </w:r>
      <w:r w:rsidR="007875FE">
        <w:rPr>
          <w:rFonts w:eastAsia="Arial"/>
        </w:rPr>
        <w:t>”</w:t>
      </w:r>
      <w:r w:rsidRPr="00894543">
        <w:rPr>
          <w:rFonts w:eastAsia="Arial"/>
        </w:rPr>
        <w:t xml:space="preserve"> do inciso II do artigo 686:</w:t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rPr>
          <w:rFonts w:eastAsia="Arial"/>
        </w:rPr>
        <w:t>“Art. 686</w:t>
      </w:r>
      <w:proofErr w:type="gramStart"/>
      <w:r w:rsidRPr="00894543">
        <w:rPr>
          <w:rFonts w:eastAsia="Arial"/>
        </w:rPr>
        <w:t>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Default="000E71D4" w:rsidP="000E71D4">
      <w:pPr>
        <w:ind w:firstLine="518"/>
        <w:jc w:val="both"/>
        <w:rPr>
          <w:rFonts w:eastAsia="Arial"/>
        </w:rPr>
      </w:pPr>
      <w:proofErr w:type="gramStart"/>
      <w:r w:rsidRPr="00894543">
        <w:rPr>
          <w:rFonts w:eastAsia="Arial"/>
        </w:rPr>
        <w:t>.....................................................................................................................................................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Default="000E71D4" w:rsidP="000E71D4">
      <w:pPr>
        <w:ind w:firstLine="518"/>
        <w:jc w:val="both"/>
        <w:rPr>
          <w:rFonts w:eastAsia="Arial"/>
        </w:rPr>
      </w:pPr>
      <w:proofErr w:type="gramStart"/>
      <w:r>
        <w:rPr>
          <w:rFonts w:eastAsia="Arial"/>
        </w:rPr>
        <w:t>a</w:t>
      </w:r>
      <w:proofErr w:type="gramEnd"/>
      <w:r>
        <w:rPr>
          <w:rFonts w:eastAsia="Arial"/>
        </w:rPr>
        <w:t>)..................................................................................................................................................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proofErr w:type="gramStart"/>
      <w:r>
        <w:rPr>
          <w:rFonts w:eastAsia="Arial"/>
        </w:rPr>
        <w:t>.....................................................................................................................................................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Default="005563E9" w:rsidP="000E71D4">
      <w:pPr>
        <w:ind w:firstLine="518"/>
        <w:jc w:val="both"/>
        <w:rPr>
          <w:rFonts w:eastAsia="Arial"/>
        </w:rPr>
      </w:pPr>
      <w:r>
        <w:rPr>
          <w:rFonts w:eastAsia="Arial"/>
        </w:rPr>
        <w:t>4.</w:t>
      </w:r>
      <w:r w:rsidR="000E71D4" w:rsidRPr="00894543">
        <w:rPr>
          <w:rFonts w:eastAsia="Arial"/>
        </w:rPr>
        <w:t xml:space="preserve"> Na</w:t>
      </w:r>
      <w:r w:rsidR="00D04A77">
        <w:rPr>
          <w:rFonts w:eastAsia="Arial"/>
        </w:rPr>
        <w:t>s</w:t>
      </w:r>
      <w:r w:rsidR="000E71D4" w:rsidRPr="00894543">
        <w:rPr>
          <w:rFonts w:eastAsia="Arial"/>
        </w:rPr>
        <w:t xml:space="preserve"> operações interestaduais com bens ou mercadorias importados do exterior, sujeitos à alíquota do ICMS de 4%, observado o disposto no Capítulo LXVI do Título </w:t>
      </w:r>
      <w:proofErr w:type="gramStart"/>
      <w:r w:rsidR="000E71D4" w:rsidRPr="00894543">
        <w:rPr>
          <w:rFonts w:eastAsia="Arial"/>
        </w:rPr>
        <w:t>VI</w:t>
      </w:r>
      <w:proofErr w:type="gramEnd"/>
      <w:r w:rsidR="000E71D4" w:rsidRPr="00894543">
        <w:rPr>
          <w:rFonts w:eastAsia="Arial"/>
        </w:rPr>
        <w:t xml:space="preserve"> do RICMS/RO, 5</w:t>
      </w:r>
      <w:r w:rsidR="000E71D4">
        <w:rPr>
          <w:rFonts w:eastAsia="Arial"/>
        </w:rPr>
        <w:t>3</w:t>
      </w:r>
      <w:r w:rsidR="000E71D4" w:rsidRPr="00894543">
        <w:rPr>
          <w:rFonts w:eastAsia="Arial"/>
        </w:rPr>
        <w:t>,89%.</w:t>
      </w:r>
      <w:r w:rsidR="000E71D4">
        <w:rPr>
          <w:rFonts w:eastAsia="Arial"/>
        </w:rPr>
        <w:t>”;</w:t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rPr>
          <w:rFonts w:eastAsia="Arial"/>
        </w:rPr>
        <w:t>I</w:t>
      </w:r>
      <w:r>
        <w:rPr>
          <w:rFonts w:eastAsia="Arial"/>
        </w:rPr>
        <w:t>I</w:t>
      </w:r>
      <w:r w:rsidRPr="00894543">
        <w:rPr>
          <w:rFonts w:eastAsia="Arial"/>
        </w:rPr>
        <w:t xml:space="preserve"> – o item </w:t>
      </w:r>
      <w:proofErr w:type="gramStart"/>
      <w:r w:rsidRPr="00894543">
        <w:rPr>
          <w:rFonts w:eastAsia="Arial"/>
        </w:rPr>
        <w:t>4</w:t>
      </w:r>
      <w:proofErr w:type="gramEnd"/>
      <w:r w:rsidRPr="00894543">
        <w:rPr>
          <w:rFonts w:eastAsia="Arial"/>
        </w:rPr>
        <w:t xml:space="preserve"> à alínea </w:t>
      </w:r>
      <w:r w:rsidR="007875FE">
        <w:rPr>
          <w:rFonts w:eastAsia="Arial"/>
        </w:rPr>
        <w:t>“</w:t>
      </w:r>
      <w:r>
        <w:rPr>
          <w:rFonts w:eastAsia="Arial"/>
        </w:rPr>
        <w:t>b</w:t>
      </w:r>
      <w:r w:rsidR="007875FE">
        <w:rPr>
          <w:rFonts w:eastAsia="Arial"/>
        </w:rPr>
        <w:t>”</w:t>
      </w:r>
      <w:r w:rsidRPr="00894543">
        <w:rPr>
          <w:rFonts w:eastAsia="Arial"/>
        </w:rPr>
        <w:t xml:space="preserve"> do inciso II do artigo 686:</w:t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rPr>
          <w:rFonts w:eastAsia="Arial"/>
        </w:rPr>
        <w:t>“Art. 686</w:t>
      </w:r>
      <w:proofErr w:type="gramStart"/>
      <w:r w:rsidRPr="00894543">
        <w:rPr>
          <w:rFonts w:eastAsia="Arial"/>
        </w:rPr>
        <w:t>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Default="000E71D4" w:rsidP="000E71D4">
      <w:pPr>
        <w:ind w:firstLine="518"/>
        <w:jc w:val="both"/>
        <w:rPr>
          <w:rFonts w:eastAsia="Arial"/>
        </w:rPr>
      </w:pPr>
      <w:proofErr w:type="gramStart"/>
      <w:r w:rsidRPr="00894543">
        <w:rPr>
          <w:rFonts w:eastAsia="Arial"/>
        </w:rPr>
        <w:t>.....................................................................................................................................................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Default="000E71D4" w:rsidP="000E71D4">
      <w:pPr>
        <w:ind w:firstLine="518"/>
        <w:jc w:val="both"/>
        <w:rPr>
          <w:rFonts w:eastAsia="Arial"/>
        </w:rPr>
      </w:pPr>
      <w:proofErr w:type="gramStart"/>
      <w:r>
        <w:rPr>
          <w:rFonts w:eastAsia="Arial"/>
        </w:rPr>
        <w:t>b)</w:t>
      </w:r>
      <w:proofErr w:type="gramEnd"/>
      <w:r>
        <w:rPr>
          <w:rFonts w:eastAsia="Arial"/>
        </w:rPr>
        <w:t>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proofErr w:type="gramStart"/>
      <w:r>
        <w:rPr>
          <w:rFonts w:eastAsia="Arial"/>
        </w:rPr>
        <w:t>.....................................................................................................................................................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  <w:r>
        <w:rPr>
          <w:rFonts w:eastAsia="Arial"/>
        </w:rPr>
        <w:t xml:space="preserve"> </w:t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Default="005563E9" w:rsidP="000E71D4">
      <w:pPr>
        <w:ind w:firstLine="518"/>
        <w:jc w:val="both"/>
        <w:rPr>
          <w:rFonts w:eastAsia="Arial"/>
        </w:rPr>
      </w:pPr>
      <w:r>
        <w:rPr>
          <w:rFonts w:eastAsia="Arial"/>
        </w:rPr>
        <w:t>4.</w:t>
      </w:r>
      <w:r w:rsidR="000E71D4" w:rsidRPr="00894543">
        <w:rPr>
          <w:rFonts w:eastAsia="Arial"/>
        </w:rPr>
        <w:t xml:space="preserve"> </w:t>
      </w:r>
      <w:proofErr w:type="gramStart"/>
      <w:r w:rsidR="000E71D4" w:rsidRPr="00894543">
        <w:rPr>
          <w:rFonts w:eastAsia="Arial"/>
        </w:rPr>
        <w:t>Na operações</w:t>
      </w:r>
      <w:proofErr w:type="gramEnd"/>
      <w:r w:rsidR="000E71D4" w:rsidRPr="00894543">
        <w:rPr>
          <w:rFonts w:eastAsia="Arial"/>
        </w:rPr>
        <w:t xml:space="preserve"> interestaduais com bens ou mercadorias importados do exterior, sujeitos à alíquota do ICMS de 4%, observado o disposto no Capítulo L</w:t>
      </w:r>
      <w:r w:rsidR="000E71D4">
        <w:rPr>
          <w:rFonts w:eastAsia="Arial"/>
        </w:rPr>
        <w:t>XVI do Título VI do RICMS/RO, 59</w:t>
      </w:r>
      <w:r w:rsidR="000E71D4" w:rsidRPr="00894543">
        <w:rPr>
          <w:rFonts w:eastAsia="Arial"/>
        </w:rPr>
        <w:t>,89%.</w:t>
      </w:r>
      <w:r w:rsidR="000E71D4">
        <w:rPr>
          <w:rFonts w:eastAsia="Arial"/>
        </w:rPr>
        <w:t xml:space="preserve">”; </w:t>
      </w:r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rPr>
          <w:rFonts w:eastAsia="Arial"/>
        </w:rPr>
        <w:t>I</w:t>
      </w:r>
      <w:r>
        <w:rPr>
          <w:rFonts w:eastAsia="Arial"/>
        </w:rPr>
        <w:t>II</w:t>
      </w:r>
      <w:r w:rsidRPr="00894543">
        <w:rPr>
          <w:rFonts w:eastAsia="Arial"/>
        </w:rPr>
        <w:t xml:space="preserve"> – o item </w:t>
      </w:r>
      <w:proofErr w:type="gramStart"/>
      <w:r w:rsidRPr="00894543">
        <w:rPr>
          <w:rFonts w:eastAsia="Arial"/>
        </w:rPr>
        <w:t>4</w:t>
      </w:r>
      <w:proofErr w:type="gramEnd"/>
      <w:r w:rsidRPr="00894543">
        <w:rPr>
          <w:rFonts w:eastAsia="Arial"/>
        </w:rPr>
        <w:t xml:space="preserve"> à alínea </w:t>
      </w:r>
      <w:r w:rsidR="007875FE">
        <w:rPr>
          <w:rFonts w:eastAsia="Arial"/>
        </w:rPr>
        <w:t>“</w:t>
      </w:r>
      <w:r>
        <w:rPr>
          <w:rFonts w:eastAsia="Arial"/>
        </w:rPr>
        <w:t>c</w:t>
      </w:r>
      <w:r w:rsidR="007875FE">
        <w:rPr>
          <w:rFonts w:eastAsia="Arial"/>
        </w:rPr>
        <w:t>”</w:t>
      </w:r>
      <w:r w:rsidRPr="00894543">
        <w:rPr>
          <w:rFonts w:eastAsia="Arial"/>
        </w:rPr>
        <w:t xml:space="preserve"> do inciso II do artigo 686:</w:t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r w:rsidRPr="00894543">
        <w:rPr>
          <w:rFonts w:eastAsia="Arial"/>
        </w:rPr>
        <w:t>“Art. 686</w:t>
      </w:r>
      <w:proofErr w:type="gramStart"/>
      <w:r w:rsidRPr="00894543">
        <w:rPr>
          <w:rFonts w:eastAsia="Arial"/>
        </w:rPr>
        <w:t>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Default="000E71D4" w:rsidP="000E71D4">
      <w:pPr>
        <w:ind w:firstLine="518"/>
        <w:jc w:val="both"/>
        <w:rPr>
          <w:rFonts w:eastAsia="Arial"/>
        </w:rPr>
      </w:pPr>
      <w:proofErr w:type="gramStart"/>
      <w:r w:rsidRPr="00894543">
        <w:rPr>
          <w:rFonts w:eastAsia="Arial"/>
        </w:rPr>
        <w:t>.....................................................................................................................................................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Default="000E71D4" w:rsidP="000E71D4">
      <w:pPr>
        <w:ind w:firstLine="518"/>
        <w:jc w:val="both"/>
        <w:rPr>
          <w:rFonts w:eastAsia="Arial"/>
        </w:rPr>
      </w:pPr>
      <w:proofErr w:type="gramStart"/>
      <w:r>
        <w:rPr>
          <w:rFonts w:eastAsia="Arial"/>
        </w:rPr>
        <w:t>c)</w:t>
      </w:r>
      <w:proofErr w:type="gramEnd"/>
      <w:r>
        <w:rPr>
          <w:rFonts w:eastAsia="Arial"/>
        </w:rPr>
        <w:t>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</w:p>
    <w:p w:rsidR="000E71D4" w:rsidRDefault="000E71D4" w:rsidP="000E71D4">
      <w:pPr>
        <w:ind w:firstLine="518"/>
        <w:jc w:val="both"/>
        <w:rPr>
          <w:rFonts w:eastAsia="Arial"/>
        </w:rPr>
      </w:pPr>
    </w:p>
    <w:p w:rsidR="000E71D4" w:rsidRPr="00894543" w:rsidRDefault="000E71D4" w:rsidP="000E71D4">
      <w:pPr>
        <w:ind w:firstLine="518"/>
        <w:jc w:val="both"/>
        <w:rPr>
          <w:rFonts w:eastAsia="Arial"/>
        </w:rPr>
      </w:pPr>
      <w:proofErr w:type="gramStart"/>
      <w:r>
        <w:rPr>
          <w:rFonts w:eastAsia="Arial"/>
        </w:rPr>
        <w:t>.....................................................................................................................................................</w:t>
      </w:r>
      <w:r w:rsidR="000163EE">
        <w:rPr>
          <w:rFonts w:eastAsia="Arial"/>
        </w:rPr>
        <w:t>............</w:t>
      </w:r>
      <w:proofErr w:type="gramEnd"/>
    </w:p>
    <w:p w:rsidR="000E71D4" w:rsidRPr="00894543" w:rsidRDefault="000E71D4" w:rsidP="000E71D4">
      <w:pPr>
        <w:ind w:firstLine="518"/>
        <w:jc w:val="both"/>
        <w:rPr>
          <w:rFonts w:eastAsia="Arial"/>
        </w:rPr>
      </w:pPr>
    </w:p>
    <w:p w:rsidR="000E71D4" w:rsidRDefault="005563E9" w:rsidP="000E71D4">
      <w:pPr>
        <w:ind w:firstLine="518"/>
        <w:jc w:val="both"/>
        <w:rPr>
          <w:rFonts w:eastAsia="Arial"/>
        </w:rPr>
      </w:pPr>
      <w:r>
        <w:rPr>
          <w:rFonts w:eastAsia="Arial"/>
        </w:rPr>
        <w:t>4.</w:t>
      </w:r>
      <w:r w:rsidR="000E71D4" w:rsidRPr="00894543">
        <w:rPr>
          <w:rFonts w:eastAsia="Arial"/>
        </w:rPr>
        <w:t xml:space="preserve"> </w:t>
      </w:r>
      <w:proofErr w:type="gramStart"/>
      <w:r w:rsidR="000E71D4" w:rsidRPr="00894543">
        <w:rPr>
          <w:rFonts w:eastAsia="Arial"/>
        </w:rPr>
        <w:t>Na operações</w:t>
      </w:r>
      <w:proofErr w:type="gramEnd"/>
      <w:r w:rsidR="000E71D4" w:rsidRPr="00894543">
        <w:rPr>
          <w:rFonts w:eastAsia="Arial"/>
        </w:rPr>
        <w:t xml:space="preserve"> interestaduais com bens ou mercadorias importados do exterior, sujeitos à alíquota do ICMS de 4%, observado o disposto no Capítulo LXVI do Título VI do RICMS/RO, </w:t>
      </w:r>
      <w:r w:rsidR="000E71D4">
        <w:rPr>
          <w:rFonts w:eastAsia="Arial"/>
        </w:rPr>
        <w:t>6</w:t>
      </w:r>
      <w:r w:rsidR="000E71D4" w:rsidRPr="00894543">
        <w:rPr>
          <w:rFonts w:eastAsia="Arial"/>
        </w:rPr>
        <w:t>3,</w:t>
      </w:r>
      <w:r w:rsidR="000E71D4">
        <w:rPr>
          <w:rFonts w:eastAsia="Arial"/>
        </w:rPr>
        <w:t>48</w:t>
      </w:r>
      <w:r w:rsidR="000E71D4" w:rsidRPr="00894543">
        <w:rPr>
          <w:rFonts w:eastAsia="Arial"/>
        </w:rPr>
        <w:t>%.</w:t>
      </w:r>
      <w:r w:rsidR="000E71D4">
        <w:rPr>
          <w:rFonts w:eastAsia="Arial"/>
        </w:rPr>
        <w:t xml:space="preserve">”.  </w:t>
      </w:r>
    </w:p>
    <w:p w:rsidR="000E71D4" w:rsidRDefault="000E71D4" w:rsidP="000E71D4">
      <w:pPr>
        <w:jc w:val="both"/>
      </w:pPr>
    </w:p>
    <w:p w:rsidR="00AA67AA" w:rsidRPr="005A1530" w:rsidRDefault="000E71D4" w:rsidP="000E71D4">
      <w:pPr>
        <w:ind w:firstLine="518"/>
        <w:jc w:val="both"/>
        <w:rPr>
          <w:sz w:val="22"/>
          <w:szCs w:val="22"/>
        </w:rPr>
      </w:pPr>
      <w:r>
        <w:t>Art. 2º</w:t>
      </w:r>
      <w:r w:rsidR="005563E9">
        <w:t>.</w:t>
      </w:r>
      <w:r>
        <w:t xml:space="preserve"> Este Decreto entra em vigor na data de sua publicação.</w:t>
      </w:r>
    </w:p>
    <w:p w:rsidR="005D7835" w:rsidRPr="005A1530" w:rsidRDefault="00C43799" w:rsidP="005A1530">
      <w:pPr>
        <w:tabs>
          <w:tab w:val="left" w:pos="567"/>
          <w:tab w:val="left" w:pos="5103"/>
        </w:tabs>
        <w:jc w:val="both"/>
        <w:rPr>
          <w:sz w:val="22"/>
          <w:szCs w:val="22"/>
        </w:rPr>
      </w:pPr>
      <w:r w:rsidRPr="005A1530">
        <w:rPr>
          <w:sz w:val="22"/>
          <w:szCs w:val="22"/>
        </w:rPr>
        <w:tab/>
      </w:r>
    </w:p>
    <w:p w:rsidR="00966460" w:rsidRPr="005A1530" w:rsidRDefault="00966460" w:rsidP="00415CBF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687C87" w:rsidRDefault="00E202E8" w:rsidP="00931CB0">
      <w:pPr>
        <w:tabs>
          <w:tab w:val="left" w:pos="567"/>
          <w:tab w:val="left" w:pos="5103"/>
        </w:tabs>
        <w:ind w:firstLine="495"/>
        <w:jc w:val="both"/>
      </w:pPr>
      <w:r w:rsidRPr="00586C2F">
        <w:t>Palácio do Governo do Estado de Rondônia, em</w:t>
      </w:r>
      <w:r w:rsidR="00AB2217">
        <w:t xml:space="preserve"> 27 </w:t>
      </w:r>
      <w:r w:rsidRPr="00586C2F">
        <w:t>de</w:t>
      </w:r>
      <w:r w:rsidR="00AB2217">
        <w:t xml:space="preserve"> março </w:t>
      </w:r>
      <w:r w:rsidRPr="00586C2F">
        <w:t>de</w:t>
      </w:r>
      <w:r w:rsidR="00525A98" w:rsidRPr="00586C2F">
        <w:t xml:space="preserve"> </w:t>
      </w:r>
      <w:r w:rsidRPr="00586C2F">
        <w:t>201</w:t>
      </w:r>
      <w:r w:rsidR="005A1530" w:rsidRPr="00586C2F">
        <w:t>4</w:t>
      </w:r>
      <w:r w:rsidRPr="00586C2F">
        <w:t>, 12</w:t>
      </w:r>
      <w:r w:rsidR="005D7835" w:rsidRPr="00586C2F">
        <w:t>6</w:t>
      </w:r>
      <w:r w:rsidRPr="00586C2F">
        <w:t>º da República.</w:t>
      </w:r>
    </w:p>
    <w:p w:rsidR="007875FE" w:rsidRPr="00586C2F" w:rsidRDefault="007875FE" w:rsidP="00931CB0">
      <w:pPr>
        <w:tabs>
          <w:tab w:val="left" w:pos="567"/>
          <w:tab w:val="left" w:pos="5103"/>
        </w:tabs>
        <w:ind w:firstLine="495"/>
        <w:jc w:val="both"/>
      </w:pPr>
    </w:p>
    <w:p w:rsidR="00665FA6" w:rsidRPr="005A1530" w:rsidRDefault="00665FA6" w:rsidP="00931CB0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B12D59" w:rsidRPr="005A1530" w:rsidRDefault="00B12D59" w:rsidP="005C2BC8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</w:p>
    <w:p w:rsidR="00B12D59" w:rsidRPr="005A1530" w:rsidRDefault="00B12D59" w:rsidP="005C2BC8">
      <w:pPr>
        <w:tabs>
          <w:tab w:val="left" w:pos="567"/>
          <w:tab w:val="left" w:pos="5103"/>
        </w:tabs>
        <w:ind w:firstLine="518"/>
        <w:jc w:val="both"/>
        <w:rPr>
          <w:bCs/>
          <w:sz w:val="22"/>
          <w:szCs w:val="22"/>
        </w:rPr>
      </w:pPr>
    </w:p>
    <w:p w:rsidR="007875FE" w:rsidRPr="008968B2" w:rsidRDefault="007875FE" w:rsidP="007875FE">
      <w:pPr>
        <w:pStyle w:val="Ttulo3"/>
        <w:jc w:val="center"/>
        <w:rPr>
          <w:bCs w:val="0"/>
        </w:rPr>
      </w:pPr>
      <w:proofErr w:type="gramStart"/>
      <w:r w:rsidRPr="008968B2">
        <w:rPr>
          <w:bCs w:val="0"/>
        </w:rPr>
        <w:t>CONFÚCIO AIRES MOURA</w:t>
      </w:r>
      <w:proofErr w:type="gramEnd"/>
    </w:p>
    <w:p w:rsidR="007875FE" w:rsidRDefault="007875FE" w:rsidP="006454C4">
      <w:pPr>
        <w:pStyle w:val="Ttulo3"/>
        <w:jc w:val="center"/>
        <w:rPr>
          <w:bCs w:val="0"/>
        </w:rPr>
      </w:pPr>
      <w:r w:rsidRPr="008968B2">
        <w:rPr>
          <w:bCs w:val="0"/>
        </w:rPr>
        <w:t>Governador</w:t>
      </w:r>
    </w:p>
    <w:p w:rsidR="002D0DD3" w:rsidRPr="002D0DD3" w:rsidRDefault="002D0DD3" w:rsidP="002D0DD3"/>
    <w:p w:rsidR="002D0DD3" w:rsidRPr="002D0DD3" w:rsidRDefault="002D0DD3" w:rsidP="002D0DD3"/>
    <w:p w:rsidR="007875FE" w:rsidRPr="004E6E7F" w:rsidRDefault="007875FE" w:rsidP="007875FE">
      <w:pPr>
        <w:pStyle w:val="Ttulo3"/>
        <w:jc w:val="center"/>
        <w:rPr>
          <w:b w:val="0"/>
          <w:bCs w:val="0"/>
        </w:rPr>
      </w:pPr>
    </w:p>
    <w:p w:rsidR="002D0DD3" w:rsidRPr="001B2AC2" w:rsidRDefault="002D0DD3" w:rsidP="002D0DD3">
      <w:pPr>
        <w:pStyle w:val="Ttulo3"/>
        <w:jc w:val="center"/>
        <w:rPr>
          <w:b w:val="0"/>
          <w:bCs w:val="0"/>
        </w:rPr>
      </w:pPr>
      <w:r w:rsidRPr="001B2AC2">
        <w:rPr>
          <w:b w:val="0"/>
          <w:bCs w:val="0"/>
        </w:rPr>
        <w:t>GILVAN RAMOS DE ALMEIDA</w:t>
      </w:r>
    </w:p>
    <w:p w:rsidR="002D0DD3" w:rsidRDefault="002D0DD3" w:rsidP="002D0DD3">
      <w:pPr>
        <w:pStyle w:val="Ttulo3"/>
        <w:jc w:val="center"/>
        <w:rPr>
          <w:b w:val="0"/>
          <w:bCs w:val="0"/>
        </w:rPr>
      </w:pPr>
      <w:r w:rsidRPr="001B2AC2">
        <w:rPr>
          <w:b w:val="0"/>
          <w:bCs w:val="0"/>
        </w:rPr>
        <w:t>Secretário de Estado de Finanças</w:t>
      </w:r>
    </w:p>
    <w:p w:rsidR="002D0DD3" w:rsidRPr="002D0DD3" w:rsidRDefault="002D0DD3" w:rsidP="002D0DD3"/>
    <w:p w:rsidR="007875FE" w:rsidRPr="004E6E7F" w:rsidRDefault="007875FE" w:rsidP="007875FE"/>
    <w:p w:rsidR="007875FE" w:rsidRPr="004E6E7F" w:rsidRDefault="007875FE" w:rsidP="007875FE"/>
    <w:p w:rsidR="007875FE" w:rsidRPr="004E6E7F" w:rsidRDefault="007875FE" w:rsidP="007875FE">
      <w:pPr>
        <w:pStyle w:val="Ttulo3"/>
        <w:jc w:val="center"/>
        <w:rPr>
          <w:b w:val="0"/>
          <w:bCs w:val="0"/>
        </w:rPr>
      </w:pPr>
      <w:r w:rsidRPr="004E6E7F">
        <w:rPr>
          <w:b w:val="0"/>
          <w:bCs w:val="0"/>
        </w:rPr>
        <w:t>WAGNER GARCIA DE FREITAS</w:t>
      </w:r>
    </w:p>
    <w:p w:rsidR="007875FE" w:rsidRDefault="007875FE" w:rsidP="007875FE">
      <w:pPr>
        <w:pStyle w:val="Ttulo3"/>
        <w:jc w:val="center"/>
        <w:rPr>
          <w:b w:val="0"/>
          <w:bCs w:val="0"/>
        </w:rPr>
      </w:pPr>
      <w:r w:rsidRPr="004E6E7F">
        <w:rPr>
          <w:b w:val="0"/>
          <w:bCs w:val="0"/>
        </w:rPr>
        <w:t>Secretário Adjunto de Estado de Finanças</w:t>
      </w:r>
    </w:p>
    <w:p w:rsidR="006454C4" w:rsidRPr="006454C4" w:rsidRDefault="006454C4" w:rsidP="006454C4"/>
    <w:p w:rsidR="007875FE" w:rsidRPr="004E6E7F" w:rsidRDefault="007875FE" w:rsidP="007875FE"/>
    <w:p w:rsidR="007875FE" w:rsidRPr="004E6E7F" w:rsidRDefault="007875FE" w:rsidP="007875FE">
      <w:pPr>
        <w:pStyle w:val="Ttulo3"/>
        <w:jc w:val="center"/>
        <w:rPr>
          <w:b w:val="0"/>
          <w:bCs w:val="0"/>
        </w:rPr>
      </w:pPr>
    </w:p>
    <w:p w:rsidR="007875FE" w:rsidRPr="004E6E7F" w:rsidRDefault="007875FE" w:rsidP="007875FE">
      <w:pPr>
        <w:pStyle w:val="Ttulo3"/>
        <w:jc w:val="center"/>
        <w:rPr>
          <w:b w:val="0"/>
          <w:bCs w:val="0"/>
        </w:rPr>
      </w:pPr>
      <w:r w:rsidRPr="004E6E7F">
        <w:rPr>
          <w:b w:val="0"/>
          <w:bCs w:val="0"/>
        </w:rPr>
        <w:t>WILSON CÉZAR DE CARVALHO</w:t>
      </w:r>
    </w:p>
    <w:p w:rsidR="007875FE" w:rsidRPr="004E6E7F" w:rsidRDefault="007875FE" w:rsidP="007875FE">
      <w:pPr>
        <w:pStyle w:val="Ttulo3"/>
        <w:jc w:val="center"/>
        <w:rPr>
          <w:b w:val="0"/>
          <w:bCs w:val="0"/>
        </w:rPr>
      </w:pPr>
      <w:r w:rsidRPr="004E6E7F">
        <w:rPr>
          <w:b w:val="0"/>
          <w:bCs w:val="0"/>
        </w:rPr>
        <w:t>Coordenador-Geral da Receita Estadual</w:t>
      </w:r>
    </w:p>
    <w:p w:rsidR="005F08FC" w:rsidRPr="005A1530" w:rsidRDefault="005F08FC" w:rsidP="007875FE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sectPr w:rsidR="005F08FC" w:rsidRPr="005A1530" w:rsidSect="00FB0D77">
      <w:headerReference w:type="default" r:id="rId9"/>
      <w:footerReference w:type="default" r:id="rId10"/>
      <w:pgSz w:w="11906" w:h="16838"/>
      <w:pgMar w:top="1134" w:right="567" w:bottom="567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BE" w:rsidRDefault="00CD6CBE">
      <w:r>
        <w:separator/>
      </w:r>
    </w:p>
  </w:endnote>
  <w:endnote w:type="continuationSeparator" w:id="0">
    <w:p w:rsidR="00CD6CBE" w:rsidRDefault="00C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7" w:rsidRDefault="000228B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6777990</wp:posOffset>
              </wp:positionH>
              <wp:positionV relativeFrom="paragraph">
                <wp:posOffset>635</wp:posOffset>
              </wp:positionV>
              <wp:extent cx="120015" cy="1422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77" w:rsidRDefault="00E072E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D04A77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B221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7pt;margin-top:.05pt;width:9.45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NH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" stroked="f">
              <v:fill opacity="0"/>
              <v:textbox inset="0,0,0,0">
                <w:txbxContent>
                  <w:p w:rsidR="00D04A77" w:rsidRDefault="00E072E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D04A77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B221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BE" w:rsidRDefault="00CD6CBE">
      <w:r>
        <w:separator/>
      </w:r>
    </w:p>
  </w:footnote>
  <w:footnote w:type="continuationSeparator" w:id="0">
    <w:p w:rsidR="00CD6CBE" w:rsidRDefault="00C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7" w:rsidRDefault="00D04A77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1pt" o:ole="" filled="t">
          <v:fill color2="black"/>
          <v:imagedata r:id="rId1" o:title=""/>
        </v:shape>
        <o:OLEObject Type="Embed" ProgID="Word.Picture.8" ShapeID="_x0000_i1025" DrawAspect="Content" ObjectID="_1457415837" r:id="rId2"/>
      </w:object>
    </w:r>
  </w:p>
  <w:p w:rsidR="00D04A77" w:rsidRDefault="00D04A77">
    <w:pPr>
      <w:pStyle w:val="Cabealho"/>
      <w:jc w:val="center"/>
      <w:rPr>
        <w:sz w:val="24"/>
        <w:szCs w:val="24"/>
      </w:rPr>
    </w:pPr>
    <w:r>
      <w:rPr>
        <w:b/>
        <w:sz w:val="24"/>
        <w:szCs w:val="24"/>
      </w:rPr>
      <w:t>GOVERNO DO ESTADO DE RONDÔNIA</w:t>
    </w:r>
  </w:p>
  <w:p w:rsidR="00D04A77" w:rsidRDefault="00D04A77">
    <w:pPr>
      <w:pStyle w:val="Ttulo4"/>
    </w:pPr>
    <w:r>
      <w:rPr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1"/>
    <w:rsid w:val="000106E1"/>
    <w:rsid w:val="00015F5B"/>
    <w:rsid w:val="000163EE"/>
    <w:rsid w:val="000228B6"/>
    <w:rsid w:val="00045708"/>
    <w:rsid w:val="000614A8"/>
    <w:rsid w:val="00075AE5"/>
    <w:rsid w:val="00084F39"/>
    <w:rsid w:val="000A4404"/>
    <w:rsid w:val="000A529D"/>
    <w:rsid w:val="000B10E4"/>
    <w:rsid w:val="000D094F"/>
    <w:rsid w:val="000D267E"/>
    <w:rsid w:val="000D2E0A"/>
    <w:rsid w:val="000D7F86"/>
    <w:rsid w:val="000E6B53"/>
    <w:rsid w:val="000E71D4"/>
    <w:rsid w:val="000F628E"/>
    <w:rsid w:val="000F672E"/>
    <w:rsid w:val="00101213"/>
    <w:rsid w:val="00102BE0"/>
    <w:rsid w:val="001228A6"/>
    <w:rsid w:val="00126D3E"/>
    <w:rsid w:val="00151174"/>
    <w:rsid w:val="00153813"/>
    <w:rsid w:val="00155AEB"/>
    <w:rsid w:val="0016685B"/>
    <w:rsid w:val="001B006F"/>
    <w:rsid w:val="001B7309"/>
    <w:rsid w:val="001F43F1"/>
    <w:rsid w:val="001F510F"/>
    <w:rsid w:val="001F60AB"/>
    <w:rsid w:val="001F74A0"/>
    <w:rsid w:val="00203567"/>
    <w:rsid w:val="00210986"/>
    <w:rsid w:val="002139B4"/>
    <w:rsid w:val="00214358"/>
    <w:rsid w:val="00224577"/>
    <w:rsid w:val="00225ACF"/>
    <w:rsid w:val="00233471"/>
    <w:rsid w:val="00237528"/>
    <w:rsid w:val="00237B7E"/>
    <w:rsid w:val="00254EBE"/>
    <w:rsid w:val="00255F57"/>
    <w:rsid w:val="002A66E6"/>
    <w:rsid w:val="002C33D8"/>
    <w:rsid w:val="002D0DD3"/>
    <w:rsid w:val="002D2DC3"/>
    <w:rsid w:val="002F494C"/>
    <w:rsid w:val="0033120D"/>
    <w:rsid w:val="00343843"/>
    <w:rsid w:val="00345F89"/>
    <w:rsid w:val="00346119"/>
    <w:rsid w:val="003548E0"/>
    <w:rsid w:val="0037040D"/>
    <w:rsid w:val="003742A8"/>
    <w:rsid w:val="003B2733"/>
    <w:rsid w:val="003C34B0"/>
    <w:rsid w:val="003C3F53"/>
    <w:rsid w:val="003D5837"/>
    <w:rsid w:val="003D7BDA"/>
    <w:rsid w:val="003F4C31"/>
    <w:rsid w:val="00415CBF"/>
    <w:rsid w:val="0047556A"/>
    <w:rsid w:val="004B6591"/>
    <w:rsid w:val="004C2159"/>
    <w:rsid w:val="004D38F7"/>
    <w:rsid w:val="004E2FDB"/>
    <w:rsid w:val="0051354C"/>
    <w:rsid w:val="00517C22"/>
    <w:rsid w:val="00524CD6"/>
    <w:rsid w:val="00525A98"/>
    <w:rsid w:val="00536A39"/>
    <w:rsid w:val="005563E9"/>
    <w:rsid w:val="005625A5"/>
    <w:rsid w:val="00586C2F"/>
    <w:rsid w:val="005924B1"/>
    <w:rsid w:val="00594542"/>
    <w:rsid w:val="00596197"/>
    <w:rsid w:val="005A1530"/>
    <w:rsid w:val="005A1A0C"/>
    <w:rsid w:val="005A35FD"/>
    <w:rsid w:val="005C2BC8"/>
    <w:rsid w:val="005D6F50"/>
    <w:rsid w:val="005D7835"/>
    <w:rsid w:val="005F08FC"/>
    <w:rsid w:val="00602474"/>
    <w:rsid w:val="0060260B"/>
    <w:rsid w:val="00615756"/>
    <w:rsid w:val="006454C0"/>
    <w:rsid w:val="006454C4"/>
    <w:rsid w:val="00647452"/>
    <w:rsid w:val="00653877"/>
    <w:rsid w:val="00665FA6"/>
    <w:rsid w:val="00684CDA"/>
    <w:rsid w:val="0068710E"/>
    <w:rsid w:val="00687C87"/>
    <w:rsid w:val="00690216"/>
    <w:rsid w:val="00693117"/>
    <w:rsid w:val="006950B9"/>
    <w:rsid w:val="006C7CB1"/>
    <w:rsid w:val="006D5A09"/>
    <w:rsid w:val="007113A1"/>
    <w:rsid w:val="00731295"/>
    <w:rsid w:val="0074052C"/>
    <w:rsid w:val="00753841"/>
    <w:rsid w:val="00756AFC"/>
    <w:rsid w:val="00781B29"/>
    <w:rsid w:val="007875FE"/>
    <w:rsid w:val="007B0342"/>
    <w:rsid w:val="007E475F"/>
    <w:rsid w:val="007F16FB"/>
    <w:rsid w:val="007F7332"/>
    <w:rsid w:val="007F73B6"/>
    <w:rsid w:val="0086200C"/>
    <w:rsid w:val="00883641"/>
    <w:rsid w:val="00892DF0"/>
    <w:rsid w:val="008B1B0E"/>
    <w:rsid w:val="008B569C"/>
    <w:rsid w:val="008C00EE"/>
    <w:rsid w:val="008E4BA3"/>
    <w:rsid w:val="008F68BF"/>
    <w:rsid w:val="008F7276"/>
    <w:rsid w:val="00905B64"/>
    <w:rsid w:val="00927166"/>
    <w:rsid w:val="00931CB0"/>
    <w:rsid w:val="00944D22"/>
    <w:rsid w:val="0095342B"/>
    <w:rsid w:val="00956D28"/>
    <w:rsid w:val="00966460"/>
    <w:rsid w:val="009917DA"/>
    <w:rsid w:val="00993B6F"/>
    <w:rsid w:val="009C3D33"/>
    <w:rsid w:val="009D4427"/>
    <w:rsid w:val="009E420F"/>
    <w:rsid w:val="009E6BCF"/>
    <w:rsid w:val="009F029F"/>
    <w:rsid w:val="00A025C3"/>
    <w:rsid w:val="00A26EE4"/>
    <w:rsid w:val="00A42903"/>
    <w:rsid w:val="00A510D4"/>
    <w:rsid w:val="00A54906"/>
    <w:rsid w:val="00A651BE"/>
    <w:rsid w:val="00A771FF"/>
    <w:rsid w:val="00AA3812"/>
    <w:rsid w:val="00AA67AA"/>
    <w:rsid w:val="00AB133E"/>
    <w:rsid w:val="00AB2217"/>
    <w:rsid w:val="00AB778B"/>
    <w:rsid w:val="00AE3C6E"/>
    <w:rsid w:val="00AF4969"/>
    <w:rsid w:val="00B00BC0"/>
    <w:rsid w:val="00B037B0"/>
    <w:rsid w:val="00B12D59"/>
    <w:rsid w:val="00B214D1"/>
    <w:rsid w:val="00B37918"/>
    <w:rsid w:val="00B5513E"/>
    <w:rsid w:val="00B57E9F"/>
    <w:rsid w:val="00B70E81"/>
    <w:rsid w:val="00B94B21"/>
    <w:rsid w:val="00BB1346"/>
    <w:rsid w:val="00BB3A9C"/>
    <w:rsid w:val="00BE59BE"/>
    <w:rsid w:val="00C00433"/>
    <w:rsid w:val="00C20C8C"/>
    <w:rsid w:val="00C23C24"/>
    <w:rsid w:val="00C43799"/>
    <w:rsid w:val="00C46EFD"/>
    <w:rsid w:val="00C529FD"/>
    <w:rsid w:val="00C63265"/>
    <w:rsid w:val="00C70CE2"/>
    <w:rsid w:val="00C879C2"/>
    <w:rsid w:val="00CD6CBE"/>
    <w:rsid w:val="00CE195B"/>
    <w:rsid w:val="00D04A77"/>
    <w:rsid w:val="00D23F36"/>
    <w:rsid w:val="00D32F4B"/>
    <w:rsid w:val="00D55D43"/>
    <w:rsid w:val="00D6307C"/>
    <w:rsid w:val="00D677C3"/>
    <w:rsid w:val="00D763A4"/>
    <w:rsid w:val="00D77853"/>
    <w:rsid w:val="00D841DE"/>
    <w:rsid w:val="00D846DD"/>
    <w:rsid w:val="00D87624"/>
    <w:rsid w:val="00D94507"/>
    <w:rsid w:val="00D9535F"/>
    <w:rsid w:val="00DD412E"/>
    <w:rsid w:val="00DD6034"/>
    <w:rsid w:val="00DD6879"/>
    <w:rsid w:val="00DE25D9"/>
    <w:rsid w:val="00DE7AAE"/>
    <w:rsid w:val="00DF7E2C"/>
    <w:rsid w:val="00E072E5"/>
    <w:rsid w:val="00E202E8"/>
    <w:rsid w:val="00E22D42"/>
    <w:rsid w:val="00E34B0C"/>
    <w:rsid w:val="00E41CA0"/>
    <w:rsid w:val="00E46911"/>
    <w:rsid w:val="00E64768"/>
    <w:rsid w:val="00E65565"/>
    <w:rsid w:val="00E84A37"/>
    <w:rsid w:val="00EB62E2"/>
    <w:rsid w:val="00EE2CF0"/>
    <w:rsid w:val="00EE58E3"/>
    <w:rsid w:val="00EF11DA"/>
    <w:rsid w:val="00F02665"/>
    <w:rsid w:val="00F23DCF"/>
    <w:rsid w:val="00F3027A"/>
    <w:rsid w:val="00F322F4"/>
    <w:rsid w:val="00F361E0"/>
    <w:rsid w:val="00F45756"/>
    <w:rsid w:val="00F55A80"/>
    <w:rsid w:val="00F66D83"/>
    <w:rsid w:val="00F73017"/>
    <w:rsid w:val="00F8044B"/>
    <w:rsid w:val="00F86282"/>
    <w:rsid w:val="00F86A39"/>
    <w:rsid w:val="00FB0D77"/>
    <w:rsid w:val="00FD429E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4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753841"/>
    <w:pPr>
      <w:widowControl w:val="0"/>
      <w:tabs>
        <w:tab w:val="num" w:pos="0"/>
        <w:tab w:val="left" w:pos="1418"/>
        <w:tab w:val="left" w:pos="1843"/>
        <w:tab w:val="left" w:pos="2268"/>
      </w:tabs>
      <w:ind w:left="576" w:hanging="576"/>
      <w:jc w:val="center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753841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5384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53841"/>
    <w:rPr>
      <w:b w:val="0"/>
    </w:rPr>
  </w:style>
  <w:style w:type="character" w:customStyle="1" w:styleId="Fontepargpadro2">
    <w:name w:val="Fonte parág. padrão2"/>
    <w:rsid w:val="00753841"/>
  </w:style>
  <w:style w:type="character" w:customStyle="1" w:styleId="Fontepargpadro1">
    <w:name w:val="Fonte parág. padrão1"/>
    <w:rsid w:val="00753841"/>
  </w:style>
  <w:style w:type="character" w:styleId="Nmerodepgina">
    <w:name w:val="page number"/>
    <w:basedOn w:val="Fontepargpadro1"/>
    <w:rsid w:val="00753841"/>
  </w:style>
  <w:style w:type="character" w:styleId="Hyperlink">
    <w:name w:val="Hyperlink"/>
    <w:rsid w:val="00753841"/>
    <w:rPr>
      <w:color w:val="0000FF"/>
      <w:u w:val="single"/>
    </w:rPr>
  </w:style>
  <w:style w:type="character" w:customStyle="1" w:styleId="Smbolosdenumerao">
    <w:name w:val="Símbolos de numeração"/>
    <w:rsid w:val="00753841"/>
  </w:style>
  <w:style w:type="paragraph" w:customStyle="1" w:styleId="Ttulo20">
    <w:name w:val="Título2"/>
    <w:basedOn w:val="Normal"/>
    <w:next w:val="Corpodetexto"/>
    <w:rsid w:val="007538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53841"/>
    <w:pPr>
      <w:spacing w:after="120"/>
    </w:pPr>
  </w:style>
  <w:style w:type="paragraph" w:styleId="Lista">
    <w:name w:val="List"/>
    <w:basedOn w:val="Corpodetexto"/>
    <w:rsid w:val="00753841"/>
    <w:rPr>
      <w:rFonts w:cs="Mangal"/>
    </w:rPr>
  </w:style>
  <w:style w:type="paragraph" w:customStyle="1" w:styleId="Legenda2">
    <w:name w:val="Legenda2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3841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7538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rsid w:val="00753841"/>
    <w:pPr>
      <w:widowControl w:val="0"/>
      <w:jc w:val="both"/>
    </w:pPr>
    <w:rPr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753841"/>
    <w:pPr>
      <w:ind w:left="3402"/>
      <w:jc w:val="both"/>
    </w:pPr>
    <w:rPr>
      <w:rFonts w:ascii="Arial" w:hAnsi="Arial" w:cs="Arial"/>
      <w:spacing w:val="18"/>
      <w:szCs w:val="20"/>
    </w:rPr>
  </w:style>
  <w:style w:type="paragraph" w:styleId="Cabealho">
    <w:name w:val="header"/>
    <w:basedOn w:val="Normal"/>
    <w:rsid w:val="0075384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753841"/>
    <w:pPr>
      <w:tabs>
        <w:tab w:val="center" w:pos="4419"/>
        <w:tab w:val="right" w:pos="8838"/>
      </w:tabs>
    </w:pPr>
  </w:style>
  <w:style w:type="paragraph" w:customStyle="1" w:styleId="NormalJustificado">
    <w:name w:val="Normal + Justificado"/>
    <w:basedOn w:val="Recuodecorpodetexto"/>
    <w:rsid w:val="00753841"/>
    <w:pPr>
      <w:ind w:firstLine="540"/>
    </w:pPr>
    <w:rPr>
      <w:sz w:val="24"/>
      <w:szCs w:val="24"/>
    </w:rPr>
  </w:style>
  <w:style w:type="paragraph" w:styleId="Textodebalo">
    <w:name w:val="Balloon Text"/>
    <w:basedOn w:val="Normal"/>
    <w:rsid w:val="00753841"/>
    <w:rPr>
      <w:rFonts w:ascii="Tahoma" w:hAnsi="Tahoma" w:cs="Tahoma"/>
      <w:sz w:val="16"/>
      <w:szCs w:val="16"/>
    </w:rPr>
  </w:style>
  <w:style w:type="paragraph" w:customStyle="1" w:styleId="RedaoAnterior">
    <w:name w:val="Redação Anterior"/>
    <w:basedOn w:val="Normal"/>
    <w:rsid w:val="00753841"/>
    <w:pPr>
      <w:suppressAutoHyphens w:val="0"/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customStyle="1" w:styleId="RedaoAnteriorTimes">
    <w:name w:val="Redação Anterior Times"/>
    <w:basedOn w:val="Recuodecorpodetexto"/>
    <w:rsid w:val="00753841"/>
    <w:pPr>
      <w:widowControl/>
      <w:suppressAutoHyphens w:val="0"/>
      <w:ind w:left="2331"/>
    </w:pPr>
    <w:rPr>
      <w:i/>
      <w:color w:val="0000FF"/>
    </w:rPr>
  </w:style>
  <w:style w:type="paragraph" w:customStyle="1" w:styleId="REVOGADO">
    <w:name w:val="REVOGADO"/>
    <w:basedOn w:val="Normal"/>
    <w:rsid w:val="00753841"/>
    <w:pPr>
      <w:suppressAutoHyphens w:val="0"/>
      <w:autoSpaceDE w:val="0"/>
      <w:ind w:left="1134"/>
      <w:jc w:val="both"/>
    </w:pPr>
    <w:rPr>
      <w:rFonts w:cs="Arial"/>
      <w:color w:val="FF0000"/>
      <w:sz w:val="20"/>
      <w:szCs w:val="16"/>
    </w:rPr>
  </w:style>
  <w:style w:type="paragraph" w:customStyle="1" w:styleId="Contedodequadro">
    <w:name w:val="Conteúdo de quadro"/>
    <w:basedOn w:val="Corpodetexto"/>
    <w:rsid w:val="00753841"/>
  </w:style>
  <w:style w:type="paragraph" w:customStyle="1" w:styleId="Recuodecorpodetexto21">
    <w:name w:val="Recuo de corpo de texto 21"/>
    <w:basedOn w:val="Normal"/>
    <w:rsid w:val="00753841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character" w:styleId="TextodoEspaoReservado">
    <w:name w:val="Placeholder Text"/>
    <w:basedOn w:val="Fontepargpadro"/>
    <w:uiPriority w:val="99"/>
    <w:semiHidden/>
    <w:rsid w:val="0074052C"/>
    <w:rPr>
      <w:color w:val="808080"/>
    </w:rPr>
  </w:style>
  <w:style w:type="table" w:styleId="Tabelacomgrade">
    <w:name w:val="Table Grid"/>
    <w:basedOn w:val="Tabelanormal"/>
    <w:uiPriority w:val="59"/>
    <w:rsid w:val="003D5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4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753841"/>
    <w:pPr>
      <w:widowControl w:val="0"/>
      <w:tabs>
        <w:tab w:val="num" w:pos="0"/>
        <w:tab w:val="left" w:pos="1418"/>
        <w:tab w:val="left" w:pos="1843"/>
        <w:tab w:val="left" w:pos="2268"/>
      </w:tabs>
      <w:ind w:left="576" w:hanging="576"/>
      <w:jc w:val="center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753841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5384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53841"/>
    <w:rPr>
      <w:b w:val="0"/>
    </w:rPr>
  </w:style>
  <w:style w:type="character" w:customStyle="1" w:styleId="Fontepargpadro2">
    <w:name w:val="Fonte parág. padrão2"/>
    <w:rsid w:val="00753841"/>
  </w:style>
  <w:style w:type="character" w:customStyle="1" w:styleId="Fontepargpadro1">
    <w:name w:val="Fonte parág. padrão1"/>
    <w:rsid w:val="00753841"/>
  </w:style>
  <w:style w:type="character" w:styleId="Nmerodepgina">
    <w:name w:val="page number"/>
    <w:basedOn w:val="Fontepargpadro1"/>
    <w:rsid w:val="00753841"/>
  </w:style>
  <w:style w:type="character" w:styleId="Hyperlink">
    <w:name w:val="Hyperlink"/>
    <w:rsid w:val="00753841"/>
    <w:rPr>
      <w:color w:val="0000FF"/>
      <w:u w:val="single"/>
    </w:rPr>
  </w:style>
  <w:style w:type="character" w:customStyle="1" w:styleId="Smbolosdenumerao">
    <w:name w:val="Símbolos de numeração"/>
    <w:rsid w:val="00753841"/>
  </w:style>
  <w:style w:type="paragraph" w:customStyle="1" w:styleId="Ttulo20">
    <w:name w:val="Título2"/>
    <w:basedOn w:val="Normal"/>
    <w:next w:val="Corpodetexto"/>
    <w:rsid w:val="007538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53841"/>
    <w:pPr>
      <w:spacing w:after="120"/>
    </w:pPr>
  </w:style>
  <w:style w:type="paragraph" w:styleId="Lista">
    <w:name w:val="List"/>
    <w:basedOn w:val="Corpodetexto"/>
    <w:rsid w:val="00753841"/>
    <w:rPr>
      <w:rFonts w:cs="Mangal"/>
    </w:rPr>
  </w:style>
  <w:style w:type="paragraph" w:customStyle="1" w:styleId="Legenda2">
    <w:name w:val="Legenda2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3841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7538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rsid w:val="00753841"/>
    <w:pPr>
      <w:widowControl w:val="0"/>
      <w:jc w:val="both"/>
    </w:pPr>
    <w:rPr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753841"/>
    <w:pPr>
      <w:ind w:left="3402"/>
      <w:jc w:val="both"/>
    </w:pPr>
    <w:rPr>
      <w:rFonts w:ascii="Arial" w:hAnsi="Arial" w:cs="Arial"/>
      <w:spacing w:val="18"/>
      <w:szCs w:val="20"/>
    </w:rPr>
  </w:style>
  <w:style w:type="paragraph" w:styleId="Cabealho">
    <w:name w:val="header"/>
    <w:basedOn w:val="Normal"/>
    <w:rsid w:val="0075384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753841"/>
    <w:pPr>
      <w:tabs>
        <w:tab w:val="center" w:pos="4419"/>
        <w:tab w:val="right" w:pos="8838"/>
      </w:tabs>
    </w:pPr>
  </w:style>
  <w:style w:type="paragraph" w:customStyle="1" w:styleId="NormalJustificado">
    <w:name w:val="Normal + Justificado"/>
    <w:basedOn w:val="Recuodecorpodetexto"/>
    <w:rsid w:val="00753841"/>
    <w:pPr>
      <w:ind w:firstLine="540"/>
    </w:pPr>
    <w:rPr>
      <w:sz w:val="24"/>
      <w:szCs w:val="24"/>
    </w:rPr>
  </w:style>
  <w:style w:type="paragraph" w:styleId="Textodebalo">
    <w:name w:val="Balloon Text"/>
    <w:basedOn w:val="Normal"/>
    <w:rsid w:val="00753841"/>
    <w:rPr>
      <w:rFonts w:ascii="Tahoma" w:hAnsi="Tahoma" w:cs="Tahoma"/>
      <w:sz w:val="16"/>
      <w:szCs w:val="16"/>
    </w:rPr>
  </w:style>
  <w:style w:type="paragraph" w:customStyle="1" w:styleId="RedaoAnterior">
    <w:name w:val="Redação Anterior"/>
    <w:basedOn w:val="Normal"/>
    <w:rsid w:val="00753841"/>
    <w:pPr>
      <w:suppressAutoHyphens w:val="0"/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customStyle="1" w:styleId="RedaoAnteriorTimes">
    <w:name w:val="Redação Anterior Times"/>
    <w:basedOn w:val="Recuodecorpodetexto"/>
    <w:rsid w:val="00753841"/>
    <w:pPr>
      <w:widowControl/>
      <w:suppressAutoHyphens w:val="0"/>
      <w:ind w:left="2331"/>
    </w:pPr>
    <w:rPr>
      <w:i/>
      <w:color w:val="0000FF"/>
    </w:rPr>
  </w:style>
  <w:style w:type="paragraph" w:customStyle="1" w:styleId="REVOGADO">
    <w:name w:val="REVOGADO"/>
    <w:basedOn w:val="Normal"/>
    <w:rsid w:val="00753841"/>
    <w:pPr>
      <w:suppressAutoHyphens w:val="0"/>
      <w:autoSpaceDE w:val="0"/>
      <w:ind w:left="1134"/>
      <w:jc w:val="both"/>
    </w:pPr>
    <w:rPr>
      <w:rFonts w:cs="Arial"/>
      <w:color w:val="FF0000"/>
      <w:sz w:val="20"/>
      <w:szCs w:val="16"/>
    </w:rPr>
  </w:style>
  <w:style w:type="paragraph" w:customStyle="1" w:styleId="Contedodequadro">
    <w:name w:val="Conteúdo de quadro"/>
    <w:basedOn w:val="Corpodetexto"/>
    <w:rsid w:val="00753841"/>
  </w:style>
  <w:style w:type="paragraph" w:customStyle="1" w:styleId="Recuodecorpodetexto21">
    <w:name w:val="Recuo de corpo de texto 21"/>
    <w:basedOn w:val="Normal"/>
    <w:rsid w:val="00753841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character" w:styleId="TextodoEspaoReservado">
    <w:name w:val="Placeholder Text"/>
    <w:basedOn w:val="Fontepargpadro"/>
    <w:uiPriority w:val="99"/>
    <w:semiHidden/>
    <w:rsid w:val="0074052C"/>
    <w:rPr>
      <w:color w:val="808080"/>
    </w:rPr>
  </w:style>
  <w:style w:type="table" w:styleId="Tabelacomgrade">
    <w:name w:val="Table Grid"/>
    <w:basedOn w:val="Tabelanormal"/>
    <w:uiPriority w:val="59"/>
    <w:rsid w:val="003D5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AE61D-5C61-4BE3-A0CD-0B44FCB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, DE 20 DE DEZEMBRO DE 2013</vt:lpstr>
    </vt:vector>
  </TitlesOfParts>
  <Company>LENOVO CUSTOMER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, DE 20 DE DEZEMBRO DE 2013</dc:title>
  <dc:subject>Altera, acrescenta e revoga dispositivos do Regulamento do Imposto sobre Operações Relativas à Circulação de Mercadorias e sobre Prestações de Serviços de Transporte Interestadual e Intermunicipal e de Comunicação – RICMS/RO, aprovado pelo Decreto n. 8.321, de 30 de abril de 1998. </dc:subject>
  <dc:creator>GETRI</dc:creator>
  <cp:keywords/>
  <cp:lastModifiedBy>Maria Auxiliadora dos Santos</cp:lastModifiedBy>
  <cp:revision>3</cp:revision>
  <cp:lastPrinted>2014-01-31T14:36:00Z</cp:lastPrinted>
  <dcterms:created xsi:type="dcterms:W3CDTF">2014-02-03T13:44:00Z</dcterms:created>
  <dcterms:modified xsi:type="dcterms:W3CDTF">2014-03-27T12:58:00Z</dcterms:modified>
</cp:coreProperties>
</file>