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F" w:rsidRPr="00DE4F32" w:rsidRDefault="003F592F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3705CF" w:rsidRDefault="0012528C" w:rsidP="0094623A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DECRETO N.</w:t>
      </w:r>
      <w:r w:rsidR="00687524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18.521,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</w:t>
      </w:r>
      <w:r w:rsidR="00687524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15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DE</w:t>
      </w:r>
      <w:r w:rsidR="00687524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JANEIRO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DE 201</w:t>
      </w:r>
      <w:r w:rsidR="00295D53">
        <w:rPr>
          <w:rFonts w:eastAsia="Times New Roman" w:cs="Times New Roman"/>
          <w:b w:val="0"/>
          <w:bCs w:val="0"/>
          <w:kern w:val="0"/>
          <w:lang w:eastAsia="ar-SA" w:bidi="ar-SA"/>
        </w:rPr>
        <w:t>4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</w:p>
    <w:p w:rsidR="00565EC6" w:rsidRPr="00565EC6" w:rsidRDefault="00565EC6" w:rsidP="00565EC6">
      <w:pPr>
        <w:rPr>
          <w:lang w:eastAsia="ar-SA" w:bidi="ar-SA"/>
        </w:rPr>
      </w:pPr>
    </w:p>
    <w:p w:rsidR="0094623A" w:rsidRPr="00A532ED" w:rsidRDefault="0094623A" w:rsidP="0094623A">
      <w:pPr>
        <w:rPr>
          <w:lang w:eastAsia="ar-SA" w:bidi="ar-SA"/>
        </w:rPr>
      </w:pPr>
    </w:p>
    <w:p w:rsidR="003F592F" w:rsidRPr="00A532ED" w:rsidRDefault="003705CF" w:rsidP="00181EA7">
      <w:pPr>
        <w:pStyle w:val="Recuodecorpodetexto"/>
        <w:ind w:left="5040"/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  <w:r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Incorpora ao RICMS/RO as alterações oriundas da 1</w:t>
      </w:r>
      <w:r w:rsidR="003F592F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51</w:t>
      </w:r>
      <w:r w:rsidR="0065746B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ª reunião</w:t>
      </w:r>
      <w:r w:rsidR="00A87CEB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 ordinária</w:t>
      </w:r>
      <w:r w:rsidR="003F592F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, </w:t>
      </w:r>
      <w:r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da </w:t>
      </w:r>
      <w:r w:rsidR="00417C50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207ª </w:t>
      </w:r>
      <w:r w:rsidR="00DC7A83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reunião extraordinária</w:t>
      </w:r>
      <w:r w:rsidR="00417C50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 do CONFAZ, da </w:t>
      </w:r>
      <w:r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15</w:t>
      </w:r>
      <w:r w:rsidR="004F64D9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4</w:t>
      </w:r>
      <w:r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ª reunião ordinária da COTEPE e dá outras providências.</w:t>
      </w:r>
    </w:p>
    <w:p w:rsidR="003F592F" w:rsidRPr="00A532ED" w:rsidRDefault="003F592F" w:rsidP="00181EA7">
      <w:pPr>
        <w:pStyle w:val="Recuodecorpodetexto"/>
        <w:ind w:left="5040"/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</w:p>
    <w:p w:rsidR="003F592F" w:rsidRPr="00A532ED" w:rsidRDefault="003F592F" w:rsidP="00181EA7">
      <w:pPr>
        <w:pStyle w:val="Recuodecorpodetexto"/>
        <w:ind w:firstLine="540"/>
        <w:rPr>
          <w:color w:val="auto"/>
          <w:sz w:val="24"/>
          <w:szCs w:val="24"/>
        </w:rPr>
      </w:pPr>
      <w:r w:rsidRPr="00A532ED">
        <w:rPr>
          <w:color w:val="auto"/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A532ED">
        <w:rPr>
          <w:color w:val="auto"/>
          <w:sz w:val="24"/>
          <w:szCs w:val="24"/>
        </w:rPr>
        <w:t>65, inciso V, da Constituição Estadual,</w:t>
      </w:r>
    </w:p>
    <w:p w:rsidR="003F592F" w:rsidRPr="00A532ED" w:rsidRDefault="003F592F" w:rsidP="00181EA7">
      <w:pPr>
        <w:pStyle w:val="Recuodecorpodetexto"/>
        <w:ind w:firstLine="540"/>
        <w:rPr>
          <w:color w:val="auto"/>
          <w:sz w:val="24"/>
          <w:szCs w:val="24"/>
        </w:rPr>
      </w:pPr>
    </w:p>
    <w:p w:rsidR="00E54FAC" w:rsidRPr="00A532ED" w:rsidRDefault="003705CF" w:rsidP="00181EA7">
      <w:pPr>
        <w:pStyle w:val="Recuodecorpodetexto"/>
        <w:ind w:firstLine="540"/>
        <w:rPr>
          <w:rFonts w:eastAsia="Times New Roman" w:cs="Times New Roman"/>
          <w:bCs/>
          <w:kern w:val="0"/>
          <w:sz w:val="24"/>
          <w:szCs w:val="24"/>
          <w:lang w:eastAsia="ar-SA" w:bidi="ar-SA"/>
        </w:rPr>
      </w:pPr>
      <w:r w:rsidRPr="00A532ED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CONSIDERANDO as alterações oriundas da </w:t>
      </w:r>
      <w:r w:rsidR="00417C50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151ª reunião ordinária, da 207ª </w:t>
      </w:r>
      <w:r w:rsidR="00DC7A83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reunião extraordinária</w:t>
      </w:r>
      <w:r w:rsidR="00417C50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 do CONFAZ, da 154ª reunião ordinária da COTEPE e dá outras providências</w:t>
      </w:r>
      <w:r w:rsidR="0080170E" w:rsidRPr="00A532ED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>,</w:t>
      </w:r>
    </w:p>
    <w:p w:rsidR="003F592F" w:rsidRPr="00A532ED" w:rsidRDefault="003F592F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565EC6" w:rsidRPr="00A532ED" w:rsidRDefault="003F592F" w:rsidP="00256683">
      <w:pPr>
        <w:pStyle w:val="Recuodecorpodetexto"/>
        <w:ind w:firstLine="540"/>
        <w:rPr>
          <w:color w:val="auto"/>
          <w:sz w:val="24"/>
          <w:szCs w:val="24"/>
        </w:rPr>
      </w:pPr>
      <w:r w:rsidRPr="00A532ED">
        <w:rPr>
          <w:color w:val="auto"/>
          <w:sz w:val="24"/>
          <w:szCs w:val="24"/>
          <w:u w:val="single"/>
        </w:rPr>
        <w:t>D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E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C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R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E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T</w:t>
      </w:r>
      <w:r w:rsidRPr="00A532ED">
        <w:rPr>
          <w:color w:val="auto"/>
          <w:sz w:val="24"/>
          <w:szCs w:val="24"/>
        </w:rPr>
        <w:t xml:space="preserve"> </w:t>
      </w:r>
      <w:r w:rsidRPr="00A532ED">
        <w:rPr>
          <w:color w:val="auto"/>
          <w:sz w:val="24"/>
          <w:szCs w:val="24"/>
          <w:u w:val="single"/>
        </w:rPr>
        <w:t>A:</w:t>
      </w:r>
    </w:p>
    <w:p w:rsidR="003F592F" w:rsidRPr="00A532ED" w:rsidRDefault="003F592F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2273E" w:rsidRPr="00A532ED" w:rsidRDefault="00333F02" w:rsidP="0062273E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Art. 1</w:t>
      </w:r>
      <w:r w:rsidR="00D340F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º. Ficam acrescentados com a seguinte redação</w:t>
      </w:r>
      <w:r w:rsidR="003705C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os dispositivos adiante enumerados do Regulamento do Imposto sobre Operações Relativas à Circulação de Mercadorias e sobre Prestações de Serviços de Transporte Interestadual e Intermunicipal e de Comunicação – RICMS/RO, aprovado pelo Decreto n. 8</w:t>
      </w:r>
      <w:r w:rsidR="00D340F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  <w:r w:rsidR="003705C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321, </w:t>
      </w:r>
      <w:r w:rsidR="005253F6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de 30 de abril de 1998:</w:t>
      </w:r>
    </w:p>
    <w:p w:rsidR="0062273E" w:rsidRPr="00A532ED" w:rsidRDefault="0062273E" w:rsidP="0062273E">
      <w:pPr>
        <w:rPr>
          <w:lang w:eastAsia="ar-SA" w:bidi="ar-SA"/>
        </w:rPr>
      </w:pPr>
    </w:p>
    <w:p w:rsidR="003705CF" w:rsidRPr="00A532ED" w:rsidRDefault="003705C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I – </w:t>
      </w:r>
      <w:r w:rsidR="00DC31B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</w:t>
      </w:r>
      <w:r w:rsidR="00480C6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inciso </w:t>
      </w:r>
      <w:r w:rsidR="0047346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</w:t>
      </w:r>
      <w:r w:rsidR="00480C6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III</w:t>
      </w:r>
      <w:r w:rsidR="0047346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ao art. </w:t>
      </w:r>
      <w:r w:rsidR="00480C6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187</w:t>
      </w:r>
      <w:r w:rsidR="0047346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480C6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E</w:t>
      </w:r>
      <w:r w:rsidR="0047346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:</w:t>
      </w:r>
      <w:r w:rsidR="00D97279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(</w:t>
      </w:r>
      <w:r w:rsidR="00893DA1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Convênio ICMS 11</w:t>
      </w:r>
      <w:r w:rsidR="00A14D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5</w:t>
      </w:r>
      <w:r w:rsidR="00893DA1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/13, </w:t>
      </w:r>
      <w:r w:rsidR="0058664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efeitos a partir de 01</w:t>
      </w:r>
      <w:r w:rsidR="00D97279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  <w:r w:rsidR="00480C6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12</w:t>
      </w:r>
      <w:r w:rsidR="00D97279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.13)</w:t>
      </w:r>
    </w:p>
    <w:p w:rsidR="0019059B" w:rsidRPr="00A532ED" w:rsidRDefault="0019059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94239" w:rsidRPr="00A532ED" w:rsidRDefault="0019059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“Art. 187-</w:t>
      </w:r>
      <w:r w:rsidR="001769BE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E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.............................................................................................................................................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3E1D5E" w:rsidRPr="00A532ED" w:rsidRDefault="005E0EC8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...............................................................................................................................................................</w:t>
      </w:r>
    </w:p>
    <w:p w:rsidR="000C3A16" w:rsidRPr="00A532ED" w:rsidRDefault="00EC4B7C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</w:p>
    <w:p w:rsidR="0062273E" w:rsidRPr="00A532ED" w:rsidRDefault="001769BE" w:rsidP="0062273E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VIII - laudo atestando a conformidade com a Norma ABNT NBR 15540, de 10 de dezembro de 2007, emitido por instituição pública que possua, a critério da Comissão Técnica Permanente do ICMS (COTEPE/ICMS), notória especialização, decorrente de seu desempenho institucional, científico ou tecnológico anterior e detenha inquestionável reputação ético-prof</w:t>
      </w:r>
      <w:r w:rsidR="00D340F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issional</w:t>
      </w:r>
      <w:r w:rsidR="00A83112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</w:p>
    <w:p w:rsidR="0094623A" w:rsidRPr="00A532ED" w:rsidRDefault="0094623A" w:rsidP="0094623A">
      <w:pPr>
        <w:rPr>
          <w:lang w:eastAsia="ar-SA" w:bidi="ar-SA"/>
        </w:rPr>
      </w:pPr>
    </w:p>
    <w:p w:rsidR="00565EC6" w:rsidRPr="00A532ED" w:rsidRDefault="003E1D5E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 xml:space="preserve">        </w:t>
      </w:r>
      <w:r w:rsidR="00AB7333">
        <w:rPr>
          <w:lang w:eastAsia="ar-SA" w:bidi="ar-SA"/>
        </w:rPr>
        <w:t>...............................................................................................................................................................”</w:t>
      </w:r>
      <w:r w:rsidR="00D0386D" w:rsidRPr="00A532ED">
        <w:rPr>
          <w:lang w:eastAsia="ar-SA" w:bidi="ar-SA"/>
        </w:rPr>
        <w:t>;</w:t>
      </w:r>
    </w:p>
    <w:p w:rsidR="003E1D5E" w:rsidRPr="00A532ED" w:rsidRDefault="003E1D5E" w:rsidP="00181EA7">
      <w:pPr>
        <w:jc w:val="both"/>
        <w:rPr>
          <w:lang w:eastAsia="ar-SA" w:bidi="ar-SA"/>
        </w:rPr>
      </w:pPr>
    </w:p>
    <w:p w:rsidR="00CB099B" w:rsidRPr="00A532ED" w:rsidRDefault="00CB099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 –</w:t>
      </w:r>
      <w:r w:rsidR="003136B5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os §§ 6º a 8º ao artigo 732-E1: (Convênio ICMS 134/13, efeitos a partir de 01.12.13)</w:t>
      </w:r>
    </w:p>
    <w:p w:rsidR="00B94239" w:rsidRPr="00A532ED" w:rsidRDefault="00B94239" w:rsidP="00181EA7">
      <w:pPr>
        <w:jc w:val="both"/>
        <w:rPr>
          <w:lang w:eastAsia="ar-SA" w:bidi="ar-SA"/>
        </w:rPr>
      </w:pPr>
    </w:p>
    <w:p w:rsidR="001A1002" w:rsidRPr="00A532ED" w:rsidRDefault="00B9423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“Art.732-E1.............................................................................................................................................</w:t>
      </w:r>
    </w:p>
    <w:p w:rsidR="00B94239" w:rsidRPr="00A532ED" w:rsidRDefault="00B94239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</w:p>
    <w:p w:rsidR="00565EC6" w:rsidRPr="00565EC6" w:rsidRDefault="00B94239" w:rsidP="00565EC6">
      <w:pPr>
        <w:pStyle w:val="Ttulo3"/>
        <w:widowControl/>
        <w:tabs>
          <w:tab w:val="clear" w:pos="720"/>
          <w:tab w:val="num" w:pos="0"/>
        </w:tabs>
        <w:ind w:firstLine="0"/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..................................................................................................................................................</w:t>
      </w:r>
      <w:r w:rsidR="001A100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  <w:r w:rsidR="00AB7333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</w:p>
    <w:p w:rsidR="00B94239" w:rsidRPr="00A532ED" w:rsidRDefault="00B94239" w:rsidP="00181EA7">
      <w:pPr>
        <w:jc w:val="both"/>
        <w:rPr>
          <w:lang w:eastAsia="ar-SA" w:bidi="ar-SA"/>
        </w:rPr>
      </w:pPr>
    </w:p>
    <w:p w:rsidR="00B94239" w:rsidRPr="00A532ED" w:rsidRDefault="00B94239" w:rsidP="00AB7333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§ 6º O ofício a ser encaminhado à refinaria ou suas bases, deverá informar: o CNPJ e a razão</w:t>
      </w:r>
      <w:r w:rsidR="00AB733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social do emitente dos relatórios, o tipo de relatório, se anexo III ou anexo V previstos no § 7º do </w:t>
      </w:r>
      <w:r w:rsidR="00AB733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A532ED">
        <w:rPr>
          <w:rFonts w:eastAsia="Times New Roman" w:cs="Times New Roman"/>
          <w:bCs/>
          <w:kern w:val="0"/>
          <w:lang w:eastAsia="ar-SA" w:bidi="ar-SA"/>
        </w:rPr>
        <w:t>artigo</w:t>
      </w:r>
      <w:r w:rsidR="00AB7333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62273E" w:rsidRPr="00A532ED" w:rsidRDefault="00B94239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732-C, período de referência com indicação de mês e ano e os respectivos valores de repasse, bem como a </w:t>
      </w:r>
    </w:p>
    <w:p w:rsidR="00565EC6" w:rsidRDefault="0062273E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lastRenderedPageBreak/>
        <w:t>u</w:t>
      </w:r>
      <w:r w:rsidR="00B94239" w:rsidRPr="00A532ED">
        <w:rPr>
          <w:rFonts w:eastAsia="Times New Roman" w:cs="Times New Roman"/>
          <w:bCs/>
          <w:kern w:val="0"/>
          <w:lang w:eastAsia="ar-SA" w:bidi="ar-SA"/>
        </w:rPr>
        <w:t>nidade da refinaria com indicação do CNPJ que efetuará o repasse/dedução.</w:t>
      </w:r>
    </w:p>
    <w:p w:rsidR="00565EC6" w:rsidRDefault="00565EC6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94239" w:rsidRPr="00A532ED" w:rsidRDefault="00B9423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§ 7º A refinaria ou suas bases, de posse do ofício de que trata o § 6º, deverá efetuar o pagamento na próxima data prevista para o repasse.</w:t>
      </w:r>
    </w:p>
    <w:p w:rsidR="00B94239" w:rsidRPr="00A532ED" w:rsidRDefault="00B9423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94239" w:rsidRPr="00A532ED" w:rsidRDefault="00B9423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§ 8º O disposto neste artigo aplica-se também ao contribuinte que receber de seus clientes informações relativas às operações interestaduais e não efetuar a entrega de seus anexos no prazo citado no caput.”;</w:t>
      </w:r>
    </w:p>
    <w:p w:rsidR="007A31B4" w:rsidRPr="00A532ED" w:rsidRDefault="007A31B4" w:rsidP="00181EA7">
      <w:pPr>
        <w:jc w:val="both"/>
        <w:rPr>
          <w:lang w:eastAsia="ar-SA" w:bidi="ar-SA"/>
        </w:rPr>
      </w:pPr>
    </w:p>
    <w:p w:rsidR="007A31B4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III – a nota 6 ao item 25 da Tabela I do Anexo II: (Convênio ICMS 135/13, efeitos a partir de 01.01.14)</w:t>
      </w:r>
    </w:p>
    <w:p w:rsidR="00565EC6" w:rsidRPr="00565EC6" w:rsidRDefault="00565EC6" w:rsidP="00565EC6">
      <w:pPr>
        <w:rPr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“25...........................................................................................................................................................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</w:t>
      </w:r>
      <w:r w:rsidR="00AB7333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................................................................................................................................................................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Nota 6: o contribuinte deverá: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 - divulgar no seu site, de forma permanente e atualizada, a descrição de todos os tipos de pacotes de televisão por assinatura comercializados, isoladamente ou em conjunto com outros serviços, com os correspondentes preços e condições;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 - manter à disposição da Coordenadoria da Receita Estadual, em meio magnético, as ofertas comercializadas, por período de apuração;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III - quando da comercialização conjunta, em pacotes, de serviço de televisão por assinatura e outros serviços: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a) discriminar, nas respectivas faturas e notas fiscais, os preços correspondentes a cada modalidade de serviço, de forma a demonstrar a sua independência e aderência às ofertas divulgadas nos sites;</w:t>
      </w: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b) observar que o valor da prestação de serviço de televisão por assinatura não será superior ao preço do mesmo serviço, prestado isoladamente em iguais condições a assinantes individuais ou coletivos.”; </w:t>
      </w:r>
    </w:p>
    <w:p w:rsidR="00B94239" w:rsidRPr="00A532ED" w:rsidRDefault="007A31B4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 xml:space="preserve"> </w:t>
      </w:r>
    </w:p>
    <w:p w:rsidR="007A31B4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IV – o item 195 à tabela de equipamentos e insumos constante do item 29 da Tabela II do Anexo I: (Convênio ICMS 136/13, efeitos a partir de 01.01.14)</w:t>
      </w:r>
    </w:p>
    <w:p w:rsidR="00565EC6" w:rsidRPr="00565EC6" w:rsidRDefault="00565EC6" w:rsidP="00565EC6">
      <w:pPr>
        <w:rPr>
          <w:lang w:eastAsia="ar-SA" w:bidi="ar-SA"/>
        </w:rPr>
      </w:pPr>
    </w:p>
    <w:p w:rsidR="007A31B4" w:rsidRPr="00A532ED" w:rsidRDefault="007A31B4" w:rsidP="007A31B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>“</w:t>
      </w:r>
    </w:p>
    <w:tbl>
      <w:tblPr>
        <w:tblW w:w="9649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84"/>
        <w:gridCol w:w="6662"/>
      </w:tblGrid>
      <w:tr w:rsidR="007A31B4" w:rsidRPr="00A532ED" w:rsidTr="00DC7A83">
        <w:trPr>
          <w:trHeight w:val="3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EQUIPAMENTOS E INSUMOS</w:t>
            </w:r>
          </w:p>
        </w:tc>
      </w:tr>
      <w:tr w:rsidR="007A31B4" w:rsidRPr="00A532ED" w:rsidTr="00DC7A83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9018.90.99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A31B4" w:rsidRPr="00A532ED" w:rsidRDefault="007A31B4" w:rsidP="00DC7A8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Linhas venosas</w:t>
            </w:r>
          </w:p>
        </w:tc>
      </w:tr>
    </w:tbl>
    <w:p w:rsidR="00C23718" w:rsidRPr="00C23718" w:rsidRDefault="007A31B4" w:rsidP="00C23718">
      <w:pPr>
        <w:pStyle w:val="Ttulo3"/>
        <w:widowControl/>
        <w:tabs>
          <w:tab w:val="clear" w:pos="720"/>
          <w:tab w:val="num" w:pos="0"/>
        </w:tabs>
        <w:jc w:val="right"/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”;</w:t>
      </w:r>
    </w:p>
    <w:p w:rsidR="009147CD" w:rsidRPr="009147CD" w:rsidRDefault="009147CD" w:rsidP="00C23718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V </w:t>
      </w:r>
      <w:r w:rsidR="00B11CF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os itens 74, 75 e 76 à tabela de medicamentos do item 43 da Tabela I do Anexo I: (Convênio ICMS  138/13, efeitos a partir de 01.01.14)</w:t>
      </w:r>
    </w:p>
    <w:p w:rsidR="002C2E87" w:rsidRPr="00A532ED" w:rsidRDefault="00752F47" w:rsidP="00B94239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</w:t>
      </w:r>
    </w:p>
    <w:tbl>
      <w:tblPr>
        <w:tblW w:w="8505" w:type="dxa"/>
        <w:tblInd w:w="1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2C2E87" w:rsidRPr="00A532ED" w:rsidTr="002C2E87">
        <w:trPr>
          <w:trHeight w:val="34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74</w:t>
            </w: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Fulvestranto</w:t>
            </w:r>
            <w:proofErr w:type="spellEnd"/>
          </w:p>
        </w:tc>
      </w:tr>
      <w:tr w:rsidR="002C2E87" w:rsidRPr="00A532ED" w:rsidTr="002C2E87">
        <w:trPr>
          <w:trHeight w:val="34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Gefitinibe</w:t>
            </w:r>
            <w:proofErr w:type="spellEnd"/>
          </w:p>
        </w:tc>
      </w:tr>
      <w:tr w:rsidR="002C2E87" w:rsidRPr="00A532ED" w:rsidTr="002C2E87">
        <w:trPr>
          <w:trHeight w:val="34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2E87" w:rsidRPr="00A532ED" w:rsidRDefault="002C2E87" w:rsidP="001F78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Acetato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Gosserrelina</w:t>
            </w:r>
            <w:proofErr w:type="spellEnd"/>
          </w:p>
        </w:tc>
      </w:tr>
    </w:tbl>
    <w:p w:rsidR="009147CD" w:rsidRPr="00A532ED" w:rsidRDefault="001F78E3" w:rsidP="00B94239">
      <w:pPr>
        <w:jc w:val="right"/>
        <w:rPr>
          <w:rFonts w:eastAsia="Times New Roman" w:cs="Times New Roman"/>
          <w:b/>
          <w:bCs/>
          <w:kern w:val="0"/>
          <w:lang w:eastAsia="ar-SA" w:bidi="ar-SA"/>
        </w:rPr>
      </w:pPr>
      <w:r w:rsidRPr="00A532ED">
        <w:rPr>
          <w:lang w:eastAsia="ar-SA" w:bidi="ar-SA"/>
        </w:rPr>
        <w:t xml:space="preserve"> ”;</w:t>
      </w:r>
      <w:r w:rsidR="009C705C" w:rsidRPr="00A532E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</w:p>
    <w:p w:rsidR="000477C8" w:rsidRPr="00A532ED" w:rsidRDefault="004B2EE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</w:t>
      </w:r>
      <w:r w:rsidR="000B421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="000477C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- 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</w:t>
      </w:r>
      <w:r w:rsidR="000477C8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inciso XVI ao item 43 da Tabela II do Anexo I</w:t>
      </w:r>
      <w:r w:rsidR="00F7737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: (</w:t>
      </w:r>
      <w:r w:rsidR="00243F06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Convênio ICMS 139</w:t>
      </w:r>
      <w:r w:rsidR="00F7737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/13, efeitos a partir de 01.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0</w:t>
      </w:r>
      <w:r w:rsidR="00F7737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1.1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4</w:t>
      </w:r>
      <w:r w:rsidR="00F7737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) </w:t>
      </w:r>
    </w:p>
    <w:p w:rsidR="00B94239" w:rsidRPr="00A532ED" w:rsidRDefault="00B94239" w:rsidP="00181EA7">
      <w:pPr>
        <w:jc w:val="both"/>
        <w:rPr>
          <w:lang w:eastAsia="ar-SA" w:bidi="ar-SA"/>
        </w:rPr>
      </w:pPr>
    </w:p>
    <w:p w:rsidR="00B94239" w:rsidRPr="00A532ED" w:rsidRDefault="00F7737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43. ............................................................................................................................</w:t>
      </w:r>
      <w:r w:rsidR="007F1C0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3E1D5E" w:rsidRPr="00A532ED" w:rsidRDefault="003E1D5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..................................................................................................................................................</w:t>
      </w:r>
      <w:r w:rsidR="001A100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  <w:r w:rsidR="00A43EAE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</w:p>
    <w:p w:rsidR="007D2B83" w:rsidRPr="00A532ED" w:rsidRDefault="007D2B83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5E0EC8" w:rsidRPr="00A532ED" w:rsidRDefault="00F7737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XVI -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Tenecteplase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, nas concentrações de 40 mg e 50 mg - NCM 3004.90.99.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3E1D5E" w:rsidRPr="00A532ED" w:rsidRDefault="003E1D5E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 xml:space="preserve">        </w:t>
      </w:r>
      <w:r w:rsidR="001F78E3" w:rsidRPr="00A532ED">
        <w:rPr>
          <w:lang w:eastAsia="ar-SA" w:bidi="ar-SA"/>
        </w:rPr>
        <w:t>...............................................................................................................................................................</w:t>
      </w:r>
      <w:r w:rsidRPr="00A532ED">
        <w:rPr>
          <w:rFonts w:eastAsia="Times New Roman" w:cs="Times New Roman"/>
          <w:bCs/>
          <w:kern w:val="0"/>
          <w:lang w:eastAsia="ar-SA" w:bidi="ar-SA"/>
        </w:rPr>
        <w:t>”</w:t>
      </w:r>
      <w:r w:rsidR="00A43EAE">
        <w:rPr>
          <w:rFonts w:eastAsia="Times New Roman" w:cs="Times New Roman"/>
          <w:bCs/>
          <w:kern w:val="0"/>
          <w:lang w:eastAsia="ar-SA" w:bidi="ar-SA"/>
        </w:rPr>
        <w:t>;</w:t>
      </w:r>
    </w:p>
    <w:p w:rsidR="003E1D5E" w:rsidRPr="00A532ED" w:rsidRDefault="003E1D5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0114AC" w:rsidRPr="00A532ED" w:rsidRDefault="001D281E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</w:t>
      </w:r>
      <w:r w:rsidR="007F1C0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="000B421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B11CF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 item 196 à tabela de equipamentos e insumos constante do item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0114A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29 da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Tabela II do Anexo I: (</w:t>
      </w:r>
      <w:r w:rsidR="000114A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Convênio ICMS 140/13, efeitos a partir de 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13</w:t>
      </w:r>
      <w:r w:rsidR="000114A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11</w:t>
      </w:r>
      <w:r w:rsidR="000114A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.1</w:t>
      </w:r>
      <w:r w:rsidR="001B2C2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3</w:t>
      </w:r>
      <w:r w:rsidR="000114A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)</w:t>
      </w:r>
    </w:p>
    <w:p w:rsidR="000114AC" w:rsidRPr="00A532ED" w:rsidRDefault="000114AC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</w:t>
      </w:r>
    </w:p>
    <w:tbl>
      <w:tblPr>
        <w:tblW w:w="9649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84"/>
        <w:gridCol w:w="6662"/>
      </w:tblGrid>
      <w:tr w:rsidR="000114AC" w:rsidRPr="00A532ED" w:rsidTr="000114AC">
        <w:trPr>
          <w:trHeight w:val="3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EQUIPAMENTOS E INSUMOS</w:t>
            </w:r>
          </w:p>
        </w:tc>
      </w:tr>
      <w:tr w:rsidR="000114AC" w:rsidRPr="00A532ED" w:rsidTr="000114AC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9021.90.11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0114AC" w:rsidRPr="00A532ED" w:rsidRDefault="000114AC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Cardio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-Desfibrilador Implantável</w:t>
            </w:r>
          </w:p>
        </w:tc>
      </w:tr>
    </w:tbl>
    <w:p w:rsidR="00421B79" w:rsidRPr="00A532ED" w:rsidRDefault="000114AC" w:rsidP="001D75B6">
      <w:pPr>
        <w:pStyle w:val="Ttulo3"/>
        <w:widowControl/>
        <w:tabs>
          <w:tab w:val="clear" w:pos="720"/>
          <w:tab w:val="num" w:pos="0"/>
        </w:tabs>
        <w:jc w:val="right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                                                                                                                  </w:t>
      </w:r>
      <w:r w:rsidR="009C705C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B94239" w:rsidRPr="00A532ED" w:rsidRDefault="00B94239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94239" w:rsidRPr="00A532ED" w:rsidRDefault="00421B79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</w:t>
      </w:r>
      <w:r w:rsidR="00DA200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</w:t>
      </w:r>
      <w:r w:rsidR="000B421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- 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item 116 </w:t>
      </w:r>
      <w:r w:rsidR="00F7620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à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Tabela I do Anexo I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: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(Convênio ICMS 140/13, efeitos a partir de 13.11.13)</w:t>
      </w:r>
    </w:p>
    <w:p w:rsidR="00F76202" w:rsidRPr="00A532ED" w:rsidRDefault="00F76202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E3F7A" w:rsidRPr="00A532ED" w:rsidRDefault="00F76202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“116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Nas operações com aceleradores lineares, classificados no código 9022.21.90 da Nomenclatura Comum do Mercosul - NCM, realizadas no âmbito do Programa Nacional de Oncolo</w:t>
      </w:r>
      <w:r w:rsidR="007D2B8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gia do Ministério da Saúde.”;</w:t>
      </w:r>
    </w:p>
    <w:p w:rsidR="007A31B4" w:rsidRPr="00A532ED" w:rsidRDefault="007A31B4" w:rsidP="00181EA7">
      <w:pPr>
        <w:jc w:val="both"/>
        <w:rPr>
          <w:lang w:eastAsia="ar-SA" w:bidi="ar-SA"/>
        </w:rPr>
      </w:pPr>
    </w:p>
    <w:p w:rsidR="00F1230C" w:rsidRPr="00A532ED" w:rsidRDefault="000B421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IX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os itens 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167 a 192 a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tabela de fármacos e medicamentos constante n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o item 44 da Tabela I</w:t>
      </w:r>
      <w:r w:rsidR="00C20F6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 do Anexo I</w:t>
      </w:r>
      <w:r w:rsidR="002C4A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: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1921F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(Convênio ICMS 145/13, efeitos a partir de 13.11.13) </w:t>
      </w:r>
    </w:p>
    <w:p w:rsidR="00C96EC2" w:rsidRPr="00A532ED" w:rsidRDefault="001A1002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>“</w:t>
      </w:r>
    </w:p>
    <w:tbl>
      <w:tblPr>
        <w:tblW w:w="10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403"/>
        <w:gridCol w:w="1685"/>
        <w:gridCol w:w="3369"/>
        <w:gridCol w:w="2074"/>
      </w:tblGrid>
      <w:tr w:rsidR="00E046F1" w:rsidRPr="00A532ED" w:rsidTr="00F1230C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lastRenderedPageBreak/>
              <w:t>TEM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FÁRMACOS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MEDICAMENTOS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</w:tr>
      <w:tr w:rsidR="00E046F1" w:rsidRPr="00A532ED" w:rsidTr="00F1230C">
        <w:trPr>
          <w:trHeight w:val="31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FÁRMACOS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MEDICAMENTOS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167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Acetato de medroxiprogesterona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2937.23.10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Acetato de medroxiprogesterona 150 mg/ml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3004.39.39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Atenolol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2924.29.43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Atenolol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3004.90.42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169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Brometo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ipratrópio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2939.99.90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Brometo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ipratrópio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0,02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3004.40.90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Brometo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ipratrópio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0,25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3004.40.90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Budesonida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2937.29.90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Budesonida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32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3004.39.99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Budesonida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3004.39.99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Captopril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2933.99.49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Captopril 25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3004.90.69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Cloridrato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metformina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2925.29.90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Cloridrato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metformina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ação prolongada 500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3004.90.49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Cloridrato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metformina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850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3004.90.49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Cloridrato de propranolol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2922.50.50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Cloridrato de propranolol 40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3004.90.36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2937.22.90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3004.39.99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Etinilestradiol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Levonorgestrel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2937.23.49</w:t>
            </w:r>
          </w:p>
        </w:tc>
        <w:tc>
          <w:tcPr>
            <w:tcW w:w="3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Etinilestradiol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0,15 mg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Levonorgestrel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0,03 mg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3004.39.39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2937.23.21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Glibenclamida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2935.00.92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Glibenclamida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3004.90.79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Hidroclorotiazida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2935.00.29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Hidroclorotiazida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3004.90.79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Losartana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Potássica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2933.29.99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Losartana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Potássica 50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3004.90.69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Maleato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enalapril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2933.99.46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Maleato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enalapril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3004.90.69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Maleato de timolol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2934.99.92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Maleato de timolol 2,5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3004.90.77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Maleato de timolol 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3004.90.77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Noretisterona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2937.23.99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Noretisterona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0,35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3004.39.39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Sulfato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salbutamol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2922.50.99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Sulfato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salbutamol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 mg/10 ml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3004.90.39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Valerato de estradiol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Enantato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noretisterona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2937.23.99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Valerato de estradiol 50 mg/ml +  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Enantato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noretisterona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 mg/ml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3004.39.39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Telaprevir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2933.59.99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Telaprevir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375 mg comprimido revestido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3003.90.79 / 3004.90.69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Palivizumabe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Palivizumabe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100 mg pó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cx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vd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Palivizumabe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100 mg pó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vd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amp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x 1 ml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186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Certolizumabe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pegol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Certolizumabe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pegol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mg/ml sol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 ser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vd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preenc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x 1 ml + 2 lenços umedecidos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Certolizumabe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pegol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mg/ml sol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6 ser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vd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preenc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x 1 ml + 6 lenços umedecidos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Abatacepte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Abatacepte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250 mg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+ ser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desc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188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Golimumabe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Golimumabe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50 mg sol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 ser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preenc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x 0,5 ml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Golimumabe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50 mg sol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 ser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preenc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x 0,5 ml acoplada em caneta aplicadora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Boceprevir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2934.99.99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Boceprevir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mg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capgel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dura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al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plas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3003.90.89 / 3004.90.79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Trastuzumabe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Trastuzumabe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150 mg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sol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vd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inc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Tocilizumabe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Tocilizumabe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80 mg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3002.10.29</w:t>
            </w:r>
          </w:p>
        </w:tc>
      </w:tr>
      <w:tr w:rsidR="00E046F1" w:rsidRPr="00A532ED" w:rsidTr="00F1230C">
        <w:trPr>
          <w:trHeight w:val="1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Tenecteplase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3002.10.39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Tenecteplase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40 mg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po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ser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dil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x 8 ml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3002.10.39</w:t>
            </w:r>
          </w:p>
        </w:tc>
      </w:tr>
      <w:tr w:rsidR="00E046F1" w:rsidRPr="00687524" w:rsidTr="00F1230C">
        <w:trPr>
          <w:trHeight w:val="1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Tenecteplase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50 mg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po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liof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ct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fa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ser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inj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>dil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  <w:t xml:space="preserve"> x 10 ml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F1" w:rsidRPr="00A532ED" w:rsidRDefault="00E046F1" w:rsidP="001F78E3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val="en-US" w:eastAsia="ar-SA" w:bidi="ar-SA"/>
              </w:rPr>
            </w:pPr>
          </w:p>
        </w:tc>
      </w:tr>
    </w:tbl>
    <w:p w:rsidR="00E046F1" w:rsidRPr="00A532ED" w:rsidRDefault="005F595B" w:rsidP="00646E38">
      <w:pPr>
        <w:pStyle w:val="Ttulo3"/>
        <w:widowControl/>
        <w:tabs>
          <w:tab w:val="clear" w:pos="720"/>
          <w:tab w:val="num" w:pos="0"/>
        </w:tabs>
        <w:jc w:val="right"/>
        <w:rPr>
          <w:rFonts w:eastAsia="Times New Roman" w:cs="Times New Roman"/>
          <w:b w:val="0"/>
          <w:bCs w:val="0"/>
          <w:kern w:val="0"/>
          <w:lang w:eastAsia="ar-SA" w:bidi="ar-SA"/>
        </w:rPr>
      </w:pPr>
      <w:proofErr w:type="gram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</w:t>
      </w:r>
      <w:proofErr w:type="gram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E046F1" w:rsidRPr="00A532ED" w:rsidRDefault="00E046F1" w:rsidP="001F78E3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2C4A55" w:rsidRPr="00A532ED" w:rsidRDefault="000B4215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X</w:t>
      </w:r>
      <w:r w:rsidR="00712D2E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2C4A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- 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o item 197 à tabela de equipamentos e insumos constante do </w:t>
      </w:r>
      <w:r w:rsidR="002C4A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item 29 da Tabela I</w:t>
      </w:r>
      <w:r w:rsidR="00082157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="002C4A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do Anexo I: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2C4A5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(Convênio ICMS 149/13, efeitos a partir de 01.01.14)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</w:p>
    <w:p w:rsidR="002C4A55" w:rsidRPr="00A532ED" w:rsidRDefault="00A85AA3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</w:t>
      </w:r>
    </w:p>
    <w:tbl>
      <w:tblPr>
        <w:tblW w:w="949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29"/>
        <w:gridCol w:w="6468"/>
      </w:tblGrid>
      <w:tr w:rsidR="00A85AA3" w:rsidRPr="00A532ED" w:rsidTr="00957A72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ITEM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EQUIPAMENTOS E INSUMOS</w:t>
            </w:r>
          </w:p>
        </w:tc>
      </w:tr>
      <w:tr w:rsidR="00A85AA3" w:rsidRPr="00A532ED" w:rsidTr="00957A72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197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9021.90.81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AA3" w:rsidRPr="00A532ED" w:rsidRDefault="00A85AA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Espirais de platina, para dilatar artérias “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coils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”</w:t>
            </w:r>
          </w:p>
        </w:tc>
      </w:tr>
    </w:tbl>
    <w:p w:rsidR="002C4A55" w:rsidRPr="00A532ED" w:rsidRDefault="001D75B6" w:rsidP="001D75B6">
      <w:pPr>
        <w:pStyle w:val="Ttulo3"/>
        <w:widowControl/>
        <w:tabs>
          <w:tab w:val="clear" w:pos="720"/>
          <w:tab w:val="num" w:pos="0"/>
        </w:tabs>
        <w:jc w:val="right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</w:t>
      </w:r>
      <w:r w:rsidR="00A85AA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1D281E" w:rsidRPr="00A532ED" w:rsidRDefault="001D281E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0B4215" w:rsidRPr="00A532ED" w:rsidRDefault="000B4215" w:rsidP="00256683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XI - </w:t>
      </w:r>
      <w:r w:rsidRPr="00A532ED">
        <w:rPr>
          <w:lang w:eastAsia="ar-SA" w:bidi="ar-SA"/>
        </w:rPr>
        <w:t>o § 12 ao artigo 406-C:</w:t>
      </w: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(Protocolo ICMS 91/13, </w:t>
      </w:r>
      <w:r w:rsidRPr="00A532ED">
        <w:rPr>
          <w:rFonts w:eastAsia="Times New Roman" w:cs="Times New Roman"/>
          <w:kern w:val="0"/>
          <w:lang w:eastAsia="pt-BR" w:bidi="ar-SA"/>
        </w:rPr>
        <w:t>efeitos a partir de 01.10.13</w:t>
      </w:r>
      <w:r w:rsidRPr="00A532ED">
        <w:rPr>
          <w:rFonts w:eastAsia="Times New Roman" w:cs="Times New Roman"/>
          <w:bCs/>
          <w:kern w:val="0"/>
          <w:lang w:eastAsia="ar-SA" w:bidi="ar-SA"/>
        </w:rPr>
        <w:t>)</w:t>
      </w:r>
    </w:p>
    <w:p w:rsidR="000B4215" w:rsidRPr="00A532ED" w:rsidRDefault="000B4215" w:rsidP="00256683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7A31B4" w:rsidRPr="00A532ED" w:rsidRDefault="006144D1" w:rsidP="00C96EC2">
      <w:pPr>
        <w:ind w:firstLine="540"/>
        <w:jc w:val="both"/>
        <w:rPr>
          <w:color w:val="000000"/>
        </w:rPr>
      </w:pPr>
      <w:r>
        <w:rPr>
          <w:color w:val="000000"/>
        </w:rPr>
        <w:t>“</w:t>
      </w:r>
      <w:r w:rsidR="000B4215" w:rsidRPr="00A532ED">
        <w:rPr>
          <w:color w:val="000000"/>
        </w:rPr>
        <w:t>Art. 406-C.....................................................................................................</w:t>
      </w:r>
      <w:r w:rsidR="003E1D5E" w:rsidRPr="00A532ED">
        <w:rPr>
          <w:color w:val="000000"/>
        </w:rPr>
        <w:t>.........................</w:t>
      </w:r>
      <w:r w:rsidR="007A31B4" w:rsidRPr="00A532ED">
        <w:rPr>
          <w:color w:val="000000"/>
        </w:rPr>
        <w:t>.............</w:t>
      </w:r>
    </w:p>
    <w:p w:rsidR="001A1002" w:rsidRPr="00A532ED" w:rsidRDefault="001A1002" w:rsidP="00C96EC2">
      <w:pPr>
        <w:ind w:firstLine="540"/>
        <w:jc w:val="both"/>
        <w:rPr>
          <w:color w:val="000000"/>
        </w:rPr>
      </w:pPr>
    </w:p>
    <w:p w:rsidR="003E1D5E" w:rsidRPr="00A532ED" w:rsidRDefault="003E1D5E" w:rsidP="003E1D5E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..................................................................................................................................................</w:t>
      </w:r>
      <w:r w:rsidR="007A31B4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</w:t>
      </w:r>
    </w:p>
    <w:p w:rsidR="000B4215" w:rsidRPr="00A532ED" w:rsidRDefault="000B4215" w:rsidP="00256683">
      <w:pPr>
        <w:jc w:val="both"/>
        <w:rPr>
          <w:color w:val="000000"/>
        </w:rPr>
      </w:pPr>
    </w:p>
    <w:p w:rsidR="00256683" w:rsidRPr="00A532ED" w:rsidRDefault="000B4215" w:rsidP="005E0EC8">
      <w:pPr>
        <w:ind w:firstLine="709"/>
        <w:jc w:val="both"/>
        <w:rPr>
          <w:color w:val="000000"/>
        </w:rPr>
      </w:pPr>
      <w:r w:rsidRPr="00A532ED">
        <w:rPr>
          <w:lang w:eastAsia="ar-SA" w:bidi="ar-SA"/>
        </w:rPr>
        <w:t>§</w:t>
      </w:r>
      <w:r w:rsidR="00A2211B" w:rsidRPr="00A532ED">
        <w:rPr>
          <w:lang w:eastAsia="ar-SA" w:bidi="ar-SA"/>
        </w:rPr>
        <w:t xml:space="preserve"> 12</w:t>
      </w:r>
      <w:r w:rsidR="00B11CF5">
        <w:rPr>
          <w:lang w:eastAsia="ar-SA" w:bidi="ar-SA"/>
        </w:rPr>
        <w:t>.</w:t>
      </w:r>
      <w:r w:rsidRPr="00A532ED">
        <w:rPr>
          <w:lang w:eastAsia="ar-SA" w:bidi="ar-SA"/>
        </w:rPr>
        <w:t xml:space="preserve"> </w:t>
      </w:r>
      <w:r w:rsidR="003136B5">
        <w:rPr>
          <w:color w:val="000000"/>
        </w:rPr>
        <w:t>Fica dispensado</w:t>
      </w:r>
      <w:r w:rsidRPr="00A532ED">
        <w:rPr>
          <w:color w:val="000000"/>
        </w:rPr>
        <w:t xml:space="preserve"> de efetuar a Escrituração Fiscal Digital - EFD o estabelecimento Microempreendedor Individual - MEI optante pelo Sistema de Recolhimento em Valores Fixos Mensais dos Tributos abrangido</w:t>
      </w:r>
      <w:r w:rsidR="0094623A" w:rsidRPr="00A532ED">
        <w:rPr>
          <w:color w:val="000000"/>
        </w:rPr>
        <w:t>s pelo Simples Nacional – SIMEI.”;</w:t>
      </w:r>
    </w:p>
    <w:p w:rsidR="00256683" w:rsidRPr="00A532ED" w:rsidRDefault="00256683" w:rsidP="00256683">
      <w:pPr>
        <w:jc w:val="both"/>
        <w:rPr>
          <w:color w:val="000000"/>
        </w:rPr>
      </w:pPr>
    </w:p>
    <w:p w:rsidR="006E3F7A" w:rsidRPr="00A532ED" w:rsidRDefault="00256683" w:rsidP="00C96EC2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color w:val="000000"/>
        </w:rPr>
        <w:t xml:space="preserve">         </w:t>
      </w:r>
      <w:r w:rsidR="000B4215" w:rsidRPr="00A532ED">
        <w:rPr>
          <w:lang w:eastAsia="ar-SA" w:bidi="ar-SA"/>
        </w:rPr>
        <w:t>XI</w:t>
      </w:r>
      <w:r w:rsidR="00A2211B" w:rsidRPr="00A532ED">
        <w:rPr>
          <w:lang w:eastAsia="ar-SA" w:bidi="ar-SA"/>
        </w:rPr>
        <w:t>I</w:t>
      </w:r>
      <w:r w:rsidR="000B4215" w:rsidRPr="00A532ED">
        <w:rPr>
          <w:lang w:eastAsia="ar-SA" w:bidi="ar-SA"/>
        </w:rPr>
        <w:t xml:space="preserve"> – o § 5º ao artigo 677-C1:</w:t>
      </w:r>
      <w:r w:rsidR="000B4215" w:rsidRPr="00A532ED">
        <w:rPr>
          <w:rFonts w:eastAsia="Times New Roman" w:cs="Times New Roman"/>
          <w:bCs/>
          <w:kern w:val="0"/>
          <w:lang w:eastAsia="ar-SA" w:bidi="ar-SA"/>
        </w:rPr>
        <w:t xml:space="preserve"> (Protocolo ICMS 100/13, </w:t>
      </w:r>
      <w:r w:rsidR="000B4215" w:rsidRPr="00A532ED">
        <w:rPr>
          <w:rFonts w:eastAsia="Times New Roman" w:cs="Times New Roman"/>
          <w:kern w:val="0"/>
          <w:lang w:eastAsia="pt-BR" w:bidi="ar-SA"/>
        </w:rPr>
        <w:t>efeitos a partir de 01.12.13</w:t>
      </w:r>
      <w:r w:rsidR="000B4215" w:rsidRPr="00A532ED">
        <w:rPr>
          <w:rFonts w:eastAsia="Times New Roman" w:cs="Times New Roman"/>
          <w:bCs/>
          <w:kern w:val="0"/>
          <w:lang w:eastAsia="ar-SA" w:bidi="ar-SA"/>
        </w:rPr>
        <w:t>)</w:t>
      </w:r>
    </w:p>
    <w:p w:rsidR="007A31B4" w:rsidRPr="00A532ED" w:rsidRDefault="007A31B4" w:rsidP="00C96EC2">
      <w:pPr>
        <w:jc w:val="both"/>
        <w:rPr>
          <w:color w:val="000000"/>
        </w:rPr>
      </w:pPr>
    </w:p>
    <w:p w:rsidR="006E3F7A" w:rsidRPr="00A532ED" w:rsidRDefault="006E3F7A" w:rsidP="00C96EC2">
      <w:pPr>
        <w:ind w:firstLine="709"/>
        <w:jc w:val="both"/>
        <w:rPr>
          <w:color w:val="000000"/>
        </w:rPr>
      </w:pPr>
      <w:r w:rsidRPr="00A532ED">
        <w:rPr>
          <w:color w:val="000000"/>
        </w:rPr>
        <w:t>“Art. 677-C1........................................................................................................................................</w:t>
      </w:r>
    </w:p>
    <w:p w:rsidR="007A31B4" w:rsidRPr="00A532ED" w:rsidRDefault="007A31B4" w:rsidP="00C96EC2">
      <w:pPr>
        <w:ind w:firstLine="709"/>
        <w:jc w:val="both"/>
        <w:rPr>
          <w:color w:val="000000"/>
        </w:rPr>
      </w:pPr>
    </w:p>
    <w:p w:rsidR="000B4215" w:rsidRPr="00A532ED" w:rsidRDefault="003E1D5E" w:rsidP="007A31B4">
      <w:pPr>
        <w:pStyle w:val="Ttulo3"/>
        <w:widowControl/>
        <w:tabs>
          <w:tab w:val="clear" w:pos="720"/>
          <w:tab w:val="num" w:pos="0"/>
        </w:tabs>
        <w:ind w:firstLine="0"/>
        <w:rPr>
          <w:color w:val="000000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 xml:space="preserve">          ..................................................................................................................................................</w:t>
      </w:r>
      <w:r w:rsidR="007A31B4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</w:p>
    <w:p w:rsidR="005E0EC8" w:rsidRPr="00A532ED" w:rsidRDefault="005E0EC8" w:rsidP="00256683">
      <w:pPr>
        <w:ind w:firstLine="709"/>
        <w:jc w:val="both"/>
        <w:rPr>
          <w:rFonts w:cs="Times New Roman"/>
          <w:color w:val="000000"/>
        </w:rPr>
      </w:pPr>
    </w:p>
    <w:p w:rsidR="000B4215" w:rsidRPr="00A532ED" w:rsidRDefault="000B4215" w:rsidP="00256683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A532ED">
        <w:rPr>
          <w:rFonts w:cs="Times New Roman"/>
          <w:color w:val="000000"/>
        </w:rPr>
        <w:t>§ 5º</w:t>
      </w:r>
      <w:r w:rsidR="00B11CF5">
        <w:rPr>
          <w:rFonts w:cs="Times New Roman"/>
          <w:color w:val="000000"/>
        </w:rPr>
        <w:t>.</w:t>
      </w:r>
      <w:r w:rsidRPr="00A532ED">
        <w:rPr>
          <w:rFonts w:cs="Times New Roman"/>
          <w:color w:val="000000"/>
        </w:rPr>
        <w:t xml:space="preserve"> </w:t>
      </w:r>
      <w:r w:rsidRPr="00A532ED">
        <w:rPr>
          <w:rFonts w:cs="Times New Roman"/>
          <w:color w:val="000000"/>
          <w:shd w:val="clear" w:color="auto" w:fill="FFFFFF"/>
        </w:rPr>
        <w:t>Nas operações destinadas ao Estado do Piauí, a MVA-ST a ser aplicada para os preparados para fabricação de sorvete em máquina, classificados nas posições 1806, 1901 e 2106 da NCM/SH, é a prevista em sua legislação interna, disponível no endereço eletrônico "www.sefaz</w:t>
      </w:r>
      <w:r w:rsidR="00646E38" w:rsidRPr="00A532ED">
        <w:rPr>
          <w:rFonts w:cs="Times New Roman"/>
          <w:color w:val="000000"/>
          <w:shd w:val="clear" w:color="auto" w:fill="FFFFFF"/>
        </w:rPr>
        <w:t>.pi.gov.br", no item legislação”;</w:t>
      </w:r>
    </w:p>
    <w:p w:rsidR="000B4215" w:rsidRPr="00A532ED" w:rsidRDefault="0094623A" w:rsidP="00256683">
      <w:pPr>
        <w:jc w:val="both"/>
        <w:rPr>
          <w:rFonts w:cs="Times New Roman"/>
          <w:color w:val="000000"/>
          <w:shd w:val="clear" w:color="auto" w:fill="FFFFFF"/>
        </w:rPr>
      </w:pPr>
      <w:r w:rsidRPr="00A532ED">
        <w:rPr>
          <w:rFonts w:cs="Times New Roman"/>
          <w:color w:val="000000"/>
          <w:shd w:val="clear" w:color="auto" w:fill="FFFFFF"/>
        </w:rPr>
        <w:t xml:space="preserve">       </w:t>
      </w:r>
    </w:p>
    <w:p w:rsidR="00652CDD" w:rsidRPr="00A532ED" w:rsidRDefault="00F26CC3" w:rsidP="00712D2E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cs="Times New Roman"/>
          <w:lang w:eastAsia="ar-SA" w:bidi="ar-SA"/>
        </w:rPr>
        <w:t>XIII</w:t>
      </w:r>
      <w:r w:rsidR="000B4215" w:rsidRPr="00A532ED">
        <w:rPr>
          <w:rFonts w:cs="Times New Roman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/>
          <w:bCs/>
          <w:kern w:val="0"/>
          <w:lang w:eastAsia="ar-SA" w:bidi="ar-SA"/>
        </w:rPr>
        <w:t>-</w:t>
      </w:r>
      <w:r w:rsidR="000B4215" w:rsidRPr="00A532ED">
        <w:rPr>
          <w:rFonts w:cs="Times New Roman"/>
          <w:lang w:eastAsia="ar-SA" w:bidi="ar-SA"/>
        </w:rPr>
        <w:t xml:space="preserve"> </w:t>
      </w:r>
      <w:r w:rsidR="003136B5">
        <w:rPr>
          <w:rFonts w:eastAsia="Times New Roman" w:cs="Times New Roman"/>
          <w:bCs/>
          <w:kern w:val="0"/>
          <w:lang w:eastAsia="ar-SA" w:bidi="ar-SA"/>
        </w:rPr>
        <w:t>o item 22 à</w:t>
      </w:r>
      <w:r w:rsidR="000B4215" w:rsidRPr="00A532ED">
        <w:rPr>
          <w:rFonts w:eastAsia="Times New Roman" w:cs="Times New Roman"/>
          <w:bCs/>
          <w:kern w:val="0"/>
          <w:lang w:eastAsia="ar-SA" w:bidi="ar-SA"/>
        </w:rPr>
        <w:t xml:space="preserve"> tabela de sorvetes e preparados para fabricação de sorvete em máquina constante na Tabela XXII do Anexo VI: (Protocolo ICMS 123/13, efeitos a partir de 01.01.14)</w:t>
      </w:r>
    </w:p>
    <w:p w:rsidR="00256683" w:rsidRPr="00A532ED" w:rsidRDefault="0094623A" w:rsidP="0094623A">
      <w:pPr>
        <w:rPr>
          <w:rFonts w:cs="Times New Roman"/>
          <w:color w:val="000000"/>
          <w:shd w:val="clear" w:color="auto" w:fill="FFFFFF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“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7441"/>
      </w:tblGrid>
      <w:tr w:rsidR="00256683" w:rsidRPr="00A532ED" w:rsidTr="00D340F8">
        <w:tc>
          <w:tcPr>
            <w:tcW w:w="456" w:type="dxa"/>
          </w:tcPr>
          <w:p w:rsidR="00256683" w:rsidRPr="00A532ED" w:rsidRDefault="00256683" w:rsidP="00181EA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22</w:t>
            </w:r>
          </w:p>
        </w:tc>
        <w:tc>
          <w:tcPr>
            <w:tcW w:w="2487" w:type="dxa"/>
          </w:tcPr>
          <w:p w:rsidR="00256683" w:rsidRPr="00A532ED" w:rsidRDefault="00256683" w:rsidP="00181E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Maranhão</w:t>
            </w:r>
          </w:p>
        </w:tc>
        <w:tc>
          <w:tcPr>
            <w:tcW w:w="7441" w:type="dxa"/>
          </w:tcPr>
          <w:p w:rsidR="00256683" w:rsidRPr="00A532ED" w:rsidRDefault="00256683" w:rsidP="00181EA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Prot. ICMS 123/13, efeitos a partir de 01.01.14</w:t>
            </w:r>
          </w:p>
        </w:tc>
      </w:tr>
    </w:tbl>
    <w:p w:rsidR="00256683" w:rsidRPr="00A532ED" w:rsidRDefault="00646E38" w:rsidP="00646E38">
      <w:pPr>
        <w:jc w:val="right"/>
        <w:rPr>
          <w:rFonts w:cs="Times New Roman"/>
          <w:color w:val="000000"/>
          <w:shd w:val="clear" w:color="auto" w:fill="FFFFFF"/>
        </w:rPr>
      </w:pPr>
      <w:r w:rsidRPr="00A532ED">
        <w:rPr>
          <w:rFonts w:cs="Times New Roman"/>
          <w:color w:val="000000"/>
          <w:shd w:val="clear" w:color="auto" w:fill="FFFFFF"/>
        </w:rPr>
        <w:t>”;</w:t>
      </w:r>
    </w:p>
    <w:p w:rsidR="00646E38" w:rsidRPr="00A532ED" w:rsidRDefault="00646E38" w:rsidP="00646E38">
      <w:pPr>
        <w:jc w:val="right"/>
        <w:rPr>
          <w:rFonts w:cs="Times New Roman"/>
          <w:color w:val="000000"/>
          <w:shd w:val="clear" w:color="auto" w:fill="FFFFFF"/>
        </w:rPr>
      </w:pPr>
    </w:p>
    <w:p w:rsidR="00256683" w:rsidRPr="00A532ED" w:rsidRDefault="00256683" w:rsidP="005E0EC8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XIV- os itens 124 a 128 </w:t>
      </w:r>
      <w:r w:rsidR="003136B5">
        <w:rPr>
          <w:rFonts w:eastAsia="Times New Roman" w:cs="Times New Roman"/>
          <w:b w:val="0"/>
          <w:bCs w:val="0"/>
          <w:kern w:val="0"/>
          <w:lang w:eastAsia="ar-SA" w:bidi="ar-SA"/>
        </w:rPr>
        <w:t>à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tabela das empresas de telecomunicações constante no Anexo XXIII. (Ato COTEPE 40/13, efeitos a partir de 01.10.13)</w:t>
      </w:r>
    </w:p>
    <w:p w:rsidR="00256683" w:rsidRPr="00A532ED" w:rsidRDefault="00256683" w:rsidP="0025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“</w:t>
      </w:r>
    </w:p>
    <w:tbl>
      <w:tblPr>
        <w:tblW w:w="4900" w:type="pct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647"/>
        <w:gridCol w:w="2415"/>
        <w:gridCol w:w="1381"/>
        <w:gridCol w:w="3038"/>
      </w:tblGrid>
      <w:tr w:rsidR="00256683" w:rsidRPr="00A532ED" w:rsidTr="00D340F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CA128D" w:rsidP="003136B5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Item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Empresa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CNPJ DA MATRIZ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Sede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Área de Atuação</w:t>
            </w:r>
          </w:p>
        </w:tc>
      </w:tr>
      <w:tr w:rsidR="00256683" w:rsidRPr="00A532ED" w:rsidTr="00D340F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CIAO TELECOM S/A.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04.796.077/0001-70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Vitória - ES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Regiões I, II e III (STFC Local, LDN, LDI)</w:t>
            </w:r>
          </w:p>
        </w:tc>
      </w:tr>
      <w:tr w:rsidR="00256683" w:rsidRPr="00A532ED" w:rsidTr="00D340F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ADYL NET ACESSO A INTERNET LTDA.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06.061.646/0001-65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Nova Prata - RS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Todo Território Nacional (STFC Local, LDN, LDI)</w:t>
            </w:r>
          </w:p>
        </w:tc>
      </w:tr>
      <w:tr w:rsidR="00256683" w:rsidRPr="00A532ED" w:rsidTr="00D340F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AUE PROVEDOR DE INTERNET LTDA.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09.177.971/0001-86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São Paulo - SP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Regiões I, II e III (STFC Local, LDN, LDI)</w:t>
            </w:r>
          </w:p>
        </w:tc>
      </w:tr>
      <w:tr w:rsidR="00256683" w:rsidRPr="00A532ED" w:rsidTr="00D340F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BRASILFONE COMUNICAÇÃO LTDA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08.228.429/0001-42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Chapecó - SC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Todo Território Nacional (STFC Local, LDN, LDI)</w:t>
            </w:r>
          </w:p>
        </w:tc>
      </w:tr>
      <w:tr w:rsidR="00256683" w:rsidRPr="00A532ED" w:rsidTr="00D340F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BRASIL DIGITAL TELECOMUNICAÇÕES LTDA.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11.966.640/0001-77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Porto Alegre - RS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83" w:rsidRPr="00A532ED" w:rsidRDefault="00256683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Regiões I e II (STFC Local e LDN)</w:t>
            </w:r>
          </w:p>
        </w:tc>
      </w:tr>
    </w:tbl>
    <w:p w:rsidR="00256683" w:rsidRPr="00A532ED" w:rsidRDefault="00256683" w:rsidP="003A2414">
      <w:pPr>
        <w:pStyle w:val="Ttulo3"/>
        <w:widowControl/>
        <w:tabs>
          <w:tab w:val="clear" w:pos="720"/>
          <w:tab w:val="num" w:pos="0"/>
        </w:tabs>
        <w:jc w:val="right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</w:t>
      </w:r>
      <w:r w:rsidR="003A2414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5E0EC8" w:rsidRPr="00A532ED" w:rsidRDefault="005E0EC8" w:rsidP="005E0EC8">
      <w:pPr>
        <w:rPr>
          <w:lang w:eastAsia="ar-SA" w:bidi="ar-SA"/>
        </w:rPr>
      </w:pPr>
    </w:p>
    <w:p w:rsidR="00256683" w:rsidRPr="00A532ED" w:rsidRDefault="00256683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XV - o inciso VII ao §</w:t>
      </w:r>
      <w:r w:rsidR="00CA128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3º do artigo 406-A (Ajuste SINIEF 18/13, efeitos a partir de 01.12.13)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256683" w:rsidRPr="00A532ED" w:rsidRDefault="00256683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cs="Times New Roman"/>
          <w:color w:val="000000"/>
          <w:shd w:val="clear" w:color="auto" w:fill="FFFFFF"/>
        </w:rPr>
        <w:t xml:space="preserve"> 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“Art. 406-A............................................................................................................................................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1D75B6" w:rsidRPr="00A532ED" w:rsidRDefault="003E1D5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..................................................................................................................................................</w:t>
      </w:r>
      <w:r w:rsidR="007A31B4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  <w:r w:rsidR="00A43EAE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1D75B6" w:rsidRPr="00A532ED" w:rsidRDefault="001D75B6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§ 3º.......................................................................................................................................................... </w:t>
      </w:r>
    </w:p>
    <w:p w:rsidR="001A1002" w:rsidRPr="00A532ED" w:rsidRDefault="001A1002" w:rsidP="00181EA7">
      <w:pPr>
        <w:jc w:val="both"/>
        <w:rPr>
          <w:lang w:eastAsia="ar-SA" w:bidi="ar-SA"/>
        </w:rPr>
      </w:pPr>
    </w:p>
    <w:p w:rsidR="003E1D5E" w:rsidRPr="00A532ED" w:rsidRDefault="003E1D5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    ..................................................................................................................................................</w:t>
      </w:r>
      <w:r w:rsidR="007A31B4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  <w:r w:rsidR="00A43EAE">
        <w:rPr>
          <w:rFonts w:eastAsia="Times New Roman" w:cs="Times New Roman"/>
          <w:b w:val="0"/>
          <w:bCs w:val="0"/>
          <w:kern w:val="0"/>
          <w:lang w:eastAsia="ar-SA" w:bidi="ar-SA"/>
        </w:rPr>
        <w:t>.......</w:t>
      </w:r>
    </w:p>
    <w:p w:rsidR="001D75B6" w:rsidRPr="00A532ED" w:rsidRDefault="001D75B6" w:rsidP="00181EA7">
      <w:pPr>
        <w:jc w:val="both"/>
        <w:rPr>
          <w:rFonts w:cs="Times New Roman"/>
          <w:color w:val="000000"/>
          <w:shd w:val="clear" w:color="auto" w:fill="FFFFFF"/>
        </w:rPr>
      </w:pPr>
    </w:p>
    <w:p w:rsidR="003E1D5E" w:rsidRPr="00A532ED" w:rsidRDefault="003E1D5E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VII - Livro Registro de Co</w:t>
      </w:r>
      <w:r w:rsidR="003B5CF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ntrole da Produção e do Estoque.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”;</w:t>
      </w:r>
    </w:p>
    <w:p w:rsidR="00712D2E" w:rsidRPr="00A532ED" w:rsidRDefault="00712D2E" w:rsidP="00181EA7">
      <w:pPr>
        <w:jc w:val="both"/>
        <w:rPr>
          <w:lang w:eastAsia="ar-SA" w:bidi="ar-SA"/>
        </w:rPr>
      </w:pPr>
    </w:p>
    <w:p w:rsidR="00712D2E" w:rsidRPr="00A532ED" w:rsidRDefault="00712D2E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>X</w:t>
      </w:r>
      <w:r w:rsidR="003B5CF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VI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3B5CF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 § 1</w:t>
      </w:r>
      <w:r w:rsidR="006144D1">
        <w:rPr>
          <w:rFonts w:eastAsia="Times New Roman" w:cs="Times New Roman"/>
          <w:b w:val="0"/>
          <w:bCs w:val="0"/>
          <w:kern w:val="0"/>
          <w:lang w:eastAsia="ar-SA" w:bidi="ar-SA"/>
        </w:rPr>
        <w:t>3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ao artigo 406-C: (Ajuste SINIEF 18/13, efeitos a partir de 01.12.13)</w:t>
      </w:r>
    </w:p>
    <w:p w:rsidR="00712D2E" w:rsidRPr="00A532ED" w:rsidRDefault="00712D2E" w:rsidP="00181EA7">
      <w:pPr>
        <w:jc w:val="both"/>
        <w:rPr>
          <w:lang w:eastAsia="ar-SA" w:bidi="ar-SA"/>
        </w:rPr>
      </w:pPr>
    </w:p>
    <w:p w:rsidR="00B34255" w:rsidRPr="00A532ED" w:rsidRDefault="00B3425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“Art. 406-C................................................................................................................</w:t>
      </w:r>
      <w:r w:rsidR="00FC1D2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</w:t>
      </w:r>
    </w:p>
    <w:p w:rsidR="00B34255" w:rsidRPr="00A532ED" w:rsidRDefault="00B3425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34255" w:rsidRPr="00A532ED" w:rsidRDefault="00B3425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</w:t>
      </w:r>
      <w:r w:rsidR="00FC1D2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</w:t>
      </w:r>
    </w:p>
    <w:p w:rsidR="00B34255" w:rsidRPr="00A532ED" w:rsidRDefault="00B3425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3804C6" w:rsidRPr="00A532ED" w:rsidRDefault="00B3425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§</w:t>
      </w:r>
      <w:r w:rsidR="00C075F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6144D1">
        <w:rPr>
          <w:rFonts w:eastAsia="Times New Roman" w:cs="Times New Roman"/>
          <w:b w:val="0"/>
          <w:bCs w:val="0"/>
          <w:kern w:val="0"/>
          <w:lang w:eastAsia="ar-SA" w:bidi="ar-SA"/>
        </w:rPr>
        <w:t>13</w:t>
      </w:r>
      <w:r w:rsidR="00C075F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A escrituração do Livro Registro de Controle da Produção e do Estoque será obrigatória a partir de 1º de janeiro de 2015 para os contribuintes com atividade econômica industrial ou equiparada a industrial.</w:t>
      </w:r>
      <w:r w:rsidR="00C075F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”.</w:t>
      </w:r>
    </w:p>
    <w:p w:rsidR="003804C6" w:rsidRPr="00A532ED" w:rsidRDefault="003804C6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B4CC3" w:rsidRPr="00A532ED" w:rsidRDefault="006E3F7A" w:rsidP="00181EA7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Art. 2</w:t>
      </w:r>
      <w:r w:rsidR="00F07F03" w:rsidRPr="00A532ED">
        <w:rPr>
          <w:rFonts w:eastAsia="Times New Roman" w:cs="Times New Roman"/>
          <w:bCs/>
          <w:kern w:val="0"/>
          <w:lang w:eastAsia="ar-SA" w:bidi="ar-SA"/>
        </w:rPr>
        <w:t xml:space="preserve">º. </w:t>
      </w:r>
      <w:r w:rsidR="00FC1D2F" w:rsidRPr="00A532ED">
        <w:rPr>
          <w:rFonts w:eastAsia="Times New Roman" w:cs="Times New Roman"/>
          <w:bCs/>
          <w:kern w:val="0"/>
          <w:lang w:eastAsia="ar-SA" w:bidi="ar-SA"/>
        </w:rPr>
        <w:t>Pa</w:t>
      </w:r>
      <w:r w:rsidR="00A335D6" w:rsidRPr="00A532ED">
        <w:rPr>
          <w:rFonts w:eastAsia="Times New Roman" w:cs="Times New Roman"/>
          <w:bCs/>
          <w:kern w:val="0"/>
          <w:lang w:eastAsia="ar-SA" w:bidi="ar-SA"/>
        </w:rPr>
        <w:t>ssam a vigorar com a seguinte redação</w:t>
      </w:r>
      <w:r w:rsidR="00333F02" w:rsidRPr="00A532ED">
        <w:rPr>
          <w:rFonts w:eastAsia="Times New Roman" w:cs="Times New Roman"/>
          <w:bCs/>
          <w:kern w:val="0"/>
          <w:lang w:eastAsia="ar-SA" w:bidi="ar-SA"/>
        </w:rPr>
        <w:t xml:space="preserve"> os dispositivos adiante enumerados do Regulamento do Imposto sobre Operações Relativas à Circulação de Mercadorias e sobre Prestações de Serviços de Transporte Interestadual e Intermunicipal e de Comunicação – RICMS/RO, aprovado pelo Decreto n. 8</w:t>
      </w:r>
      <w:r w:rsidR="008107FA" w:rsidRPr="00A532ED">
        <w:rPr>
          <w:rFonts w:eastAsia="Times New Roman" w:cs="Times New Roman"/>
          <w:bCs/>
          <w:kern w:val="0"/>
          <w:lang w:eastAsia="ar-SA" w:bidi="ar-SA"/>
        </w:rPr>
        <w:t>.</w:t>
      </w:r>
      <w:r w:rsidR="00333F02" w:rsidRPr="00A532ED">
        <w:rPr>
          <w:rFonts w:eastAsia="Times New Roman" w:cs="Times New Roman"/>
          <w:bCs/>
          <w:kern w:val="0"/>
          <w:lang w:eastAsia="ar-SA" w:bidi="ar-SA"/>
        </w:rPr>
        <w:t>321, de 1998:</w:t>
      </w:r>
    </w:p>
    <w:p w:rsidR="006B4CC3" w:rsidRPr="00A532ED" w:rsidRDefault="006B4CC3" w:rsidP="00181EA7">
      <w:pPr>
        <w:jc w:val="both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F03" w:rsidRPr="00A532ED" w:rsidRDefault="00DC31BB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I </w:t>
      </w:r>
      <w:r w:rsidR="001828FD" w:rsidRPr="00A532ED">
        <w:rPr>
          <w:rFonts w:eastAsia="Times New Roman" w:cs="Times New Roman"/>
          <w:b/>
          <w:bCs/>
          <w:kern w:val="0"/>
          <w:lang w:eastAsia="ar-SA" w:bidi="ar-SA"/>
        </w:rPr>
        <w:t>-</w:t>
      </w: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o </w:t>
      </w:r>
      <w:r w:rsidRPr="00A532ED">
        <w:rPr>
          <w:rFonts w:eastAsia="Times New Roman" w:cs="Times New Roman"/>
          <w:bCs/>
          <w:i/>
          <w:kern w:val="0"/>
          <w:lang w:eastAsia="ar-SA" w:bidi="ar-SA"/>
        </w:rPr>
        <w:t>caput</w:t>
      </w: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do artigo 557-E: (Convênio ICMS 116/13, efeitos a partir de 07.11.13)</w:t>
      </w:r>
    </w:p>
    <w:p w:rsidR="00F07F03" w:rsidRPr="00A532ED" w:rsidRDefault="00F07F03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0C7263" w:rsidRPr="00A532ED" w:rsidRDefault="000C7263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“</w:t>
      </w:r>
      <w:r w:rsidR="00DC31BB" w:rsidRPr="00A532ED">
        <w:rPr>
          <w:rFonts w:eastAsia="Times New Roman" w:cs="Times New Roman"/>
          <w:bCs/>
          <w:kern w:val="0"/>
          <w:lang w:eastAsia="ar-SA" w:bidi="ar-SA"/>
        </w:rPr>
        <w:t>Art. 557-E. Até 31 de julho de 2014, em relação às operações com partes e peças substituídas em virtude de garantia por empresa nacional da indústria aeronáutica, por estabelecimento de rede de comercialização de produtos aeronáuticos, ou por oficinas reparadoras ou de conserto e manutenção de aeronaves, homologadas pelo Comando da Aeronáutica do Ministério da Defesa e constantes na publicação do Ato COTEPE previsto no § 3º da cláusula primeira do Convênio ICMS 75/91, de 5 de dezembro de 1991, observar-se-ão as disposições deste Capítulo.</w:t>
      </w:r>
    </w:p>
    <w:p w:rsidR="000C7263" w:rsidRPr="00A532ED" w:rsidRDefault="000C7263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0C7263" w:rsidRPr="00A532ED" w:rsidRDefault="00DC31BB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............................................................................................................................................</w:t>
      </w:r>
      <w:r w:rsidR="00EF0B27" w:rsidRPr="00A532ED">
        <w:rPr>
          <w:rFonts w:eastAsia="Times New Roman" w:cs="Times New Roman"/>
          <w:bCs/>
          <w:kern w:val="0"/>
          <w:lang w:eastAsia="ar-SA" w:bidi="ar-SA"/>
        </w:rPr>
        <w:t>......</w:t>
      </w:r>
      <w:r w:rsidRPr="00A532ED">
        <w:rPr>
          <w:rFonts w:eastAsia="Times New Roman" w:cs="Times New Roman"/>
          <w:bCs/>
          <w:kern w:val="0"/>
          <w:lang w:eastAsia="ar-SA" w:bidi="ar-SA"/>
        </w:rPr>
        <w:t>” (NR);</w:t>
      </w:r>
    </w:p>
    <w:p w:rsidR="000C7263" w:rsidRPr="00A532ED" w:rsidRDefault="000C7263" w:rsidP="00181EA7">
      <w:pPr>
        <w:jc w:val="both"/>
        <w:rPr>
          <w:rFonts w:eastAsia="Times New Roman" w:cs="Times New Roman"/>
          <w:b/>
          <w:bCs/>
          <w:kern w:val="0"/>
          <w:lang w:eastAsia="ar-SA" w:bidi="ar-SA"/>
        </w:rPr>
      </w:pPr>
    </w:p>
    <w:p w:rsidR="00652CDD" w:rsidRPr="00A532ED" w:rsidRDefault="00DC31BB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I</w:t>
      </w:r>
      <w:r w:rsidR="00333F02" w:rsidRPr="00A532ED">
        <w:rPr>
          <w:rFonts w:eastAsia="Times New Roman" w:cs="Times New Roman"/>
          <w:bCs/>
          <w:kern w:val="0"/>
          <w:lang w:eastAsia="ar-SA" w:bidi="ar-SA"/>
        </w:rPr>
        <w:t xml:space="preserve">I </w:t>
      </w:r>
      <w:r w:rsidR="001828FD" w:rsidRPr="00A532ED">
        <w:rPr>
          <w:rFonts w:eastAsia="Times New Roman" w:cs="Times New Roman"/>
          <w:b/>
          <w:bCs/>
          <w:kern w:val="0"/>
          <w:lang w:eastAsia="ar-SA" w:bidi="ar-SA"/>
        </w:rPr>
        <w:t>-</w:t>
      </w:r>
      <w:r w:rsidR="00333F02" w:rsidRPr="00A532E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22AC1" w:rsidRPr="00A532ED">
        <w:rPr>
          <w:rFonts w:eastAsia="Times New Roman" w:cs="Times New Roman"/>
          <w:bCs/>
          <w:kern w:val="0"/>
          <w:lang w:eastAsia="ar-SA" w:bidi="ar-SA"/>
        </w:rPr>
        <w:t>o</w:t>
      </w:r>
      <w:r w:rsidR="00E33806" w:rsidRPr="00A532ED">
        <w:rPr>
          <w:rFonts w:eastAsia="Times New Roman" w:cs="Times New Roman"/>
          <w:bCs/>
          <w:kern w:val="0"/>
          <w:lang w:eastAsia="ar-SA" w:bidi="ar-SA"/>
        </w:rPr>
        <w:t>s §§ 1º ao 5º do artigo 732-E1: (Convênio ICMS 134/13, efeitos a partir de 01.12.13)</w:t>
      </w:r>
    </w:p>
    <w:p w:rsidR="00652CDD" w:rsidRPr="00A532ED" w:rsidRDefault="00652CDD" w:rsidP="00181EA7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652CDD" w:rsidRPr="00A532ED" w:rsidRDefault="00B34105" w:rsidP="00181EA7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>“Art.732-</w:t>
      </w:r>
      <w:r w:rsidR="00652CDD" w:rsidRPr="00A532ED">
        <w:rPr>
          <w:rFonts w:eastAsia="Times New Roman" w:cs="Times New Roman"/>
          <w:kern w:val="0"/>
          <w:lang w:eastAsia="ar-SA" w:bidi="ar-SA"/>
        </w:rPr>
        <w:t>E1.....................................................................................................................</w:t>
      </w:r>
      <w:r w:rsidR="006E3F7A" w:rsidRPr="00A532ED">
        <w:rPr>
          <w:rFonts w:eastAsia="Times New Roman" w:cs="Times New Roman"/>
          <w:kern w:val="0"/>
          <w:lang w:eastAsia="ar-SA" w:bidi="ar-SA"/>
        </w:rPr>
        <w:t>.....................</w:t>
      </w:r>
    </w:p>
    <w:p w:rsidR="00652CDD" w:rsidRPr="00A532ED" w:rsidRDefault="00652CDD" w:rsidP="00181EA7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B34105" w:rsidRPr="00A532ED" w:rsidRDefault="00652CDD" w:rsidP="00181EA7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 xml:space="preserve">§ 1º </w:t>
      </w:r>
      <w:r w:rsidR="00B34105" w:rsidRPr="00A532ED">
        <w:rPr>
          <w:rFonts w:eastAsia="Times New Roman" w:cs="Times New Roman"/>
          <w:kern w:val="0"/>
          <w:lang w:eastAsia="ar-SA" w:bidi="ar-SA"/>
        </w:rPr>
        <w:t>O contribuinte que der causa a entrega das informações fora do prazo deverá protocolar os relatórios extemporâneos apenas nas Unidades Federadas envolvidas nas operações interestaduais.</w:t>
      </w:r>
    </w:p>
    <w:p w:rsidR="00A335D6" w:rsidRPr="00A532ED" w:rsidRDefault="00A335D6" w:rsidP="00181EA7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</w:p>
    <w:p w:rsidR="00652CDD" w:rsidRPr="00A532ED" w:rsidRDefault="00A335D6" w:rsidP="00181EA7">
      <w:pPr>
        <w:ind w:firstLine="709"/>
        <w:jc w:val="both"/>
        <w:rPr>
          <w:rFonts w:eastAsia="Times New Roman" w:cs="Times New Roman"/>
          <w:b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§ 2º Na hipótese do § 1º, a entrega dos relatórios extemporâneos a outros contribuintes, à refinaria de petróleo ou às suas bases, que implique repasse/dedução não autorizado por ofício da unidade federada, sujeitará o contribuinte ao ressarcimento do imposto deduzido e acréscimos legais.</w:t>
      </w:r>
      <w:r w:rsidR="006E3F7A" w:rsidRPr="00A532ED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652CDD" w:rsidRPr="00A532ED" w:rsidRDefault="00652CDD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52CDD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652CD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§ 3º Na hipótese de que trata o caput, a unidade federada responsável por autorizar o repasse terá o prazo de até 30 (trinta) dias contados da data do protocolo dos relatórios extemporâneos para, alternativamente:</w:t>
      </w:r>
    </w:p>
    <w:p w:rsidR="00FC3F0C" w:rsidRPr="00A532ED" w:rsidRDefault="00FC3F0C" w:rsidP="00181EA7">
      <w:pPr>
        <w:jc w:val="both"/>
        <w:rPr>
          <w:lang w:eastAsia="ar-SA" w:bidi="ar-SA"/>
        </w:rPr>
      </w:pPr>
    </w:p>
    <w:p w:rsidR="00712D2E" w:rsidRPr="00A532ED" w:rsidRDefault="00712D2E" w:rsidP="00181EA7">
      <w:pPr>
        <w:ind w:firstLine="709"/>
        <w:jc w:val="both"/>
        <w:rPr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I - realizar diligências fiscais e emitir parecer conclusivo, entregando ofício a refinaria de petróleo</w:t>
      </w:r>
    </w:p>
    <w:p w:rsidR="00652CDD" w:rsidRPr="00A532ED" w:rsidRDefault="00652CDD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>ou suas bases autorizando o repasse;</w:t>
      </w:r>
    </w:p>
    <w:p w:rsidR="00652CDD" w:rsidRPr="00A532ED" w:rsidRDefault="00652CDD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52CDD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652CD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 - formar grupo de trabalho com a unidade federada destinatária do imposto, para a realização de diligências fiscais;</w:t>
      </w:r>
    </w:p>
    <w:p w:rsidR="00652CDD" w:rsidRPr="00A532ED" w:rsidRDefault="00652CDD" w:rsidP="00181EA7">
      <w:pPr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813F77" w:rsidRPr="00A532ED" w:rsidRDefault="00652CDD" w:rsidP="00181EA7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>§ 4º Não havendo manifestação da unidade federada que suportará a dedução do imposto no prazo definido no § 3°, fica caracterizada a autorização para que a refinaria ou suas bases efetue o repasse do imposto, por meio de ofício da unidade federada destinatária do imposto.</w:t>
      </w:r>
    </w:p>
    <w:p w:rsidR="00813F77" w:rsidRPr="00A532ED" w:rsidRDefault="00813F77" w:rsidP="00181EA7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C96EC2" w:rsidRPr="00A532ED" w:rsidRDefault="00652CDD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§ 5º Para que se efetive o repasse a que se refere o § 4º, a unidade federada de destino do imposto oficiará a refinaria ou suas bases, enviando cópia do ofício à unidade federada que suportará a dedução.”(NR);</w:t>
      </w:r>
    </w:p>
    <w:p w:rsidR="00C96EC2" w:rsidRPr="00A532ED" w:rsidRDefault="00C96EC2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C96EC2" w:rsidRPr="00A532ED" w:rsidRDefault="001A1002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C96EC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</w:t>
      </w:r>
      <w:r w:rsidR="00C96EC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C96EC2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 item 51 da tabela de equipamentos e insumos constante do item 29 da Tabela II do Anexo: (Convênio ICMS 140/13, efeitos a partir de 13.11.13)</w:t>
      </w:r>
    </w:p>
    <w:p w:rsidR="00C96EC2" w:rsidRPr="00A532ED" w:rsidRDefault="00C96EC2" w:rsidP="00C96EC2">
      <w:pPr>
        <w:rPr>
          <w:lang w:eastAsia="ar-SA" w:bidi="ar-SA"/>
        </w:rPr>
      </w:pPr>
      <w:r w:rsidRPr="00A532ED">
        <w:rPr>
          <w:lang w:eastAsia="ar-SA" w:bidi="ar-SA"/>
        </w:rPr>
        <w:t>“</w:t>
      </w:r>
    </w:p>
    <w:tbl>
      <w:tblPr>
        <w:tblW w:w="9649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84"/>
        <w:gridCol w:w="6662"/>
      </w:tblGrid>
      <w:tr w:rsidR="00C96EC2" w:rsidRPr="00A532ED" w:rsidTr="00C96EC2">
        <w:trPr>
          <w:trHeight w:val="2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EQUIPAMENTOS E INSUMOS</w:t>
            </w:r>
          </w:p>
        </w:tc>
      </w:tr>
      <w:tr w:rsidR="00C96EC2" w:rsidRPr="00A532ED" w:rsidTr="00C96EC2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9018.90.95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6EC2" w:rsidRPr="00A532ED" w:rsidRDefault="00C96EC2" w:rsidP="00C96EC2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Clipe venoso de prata ou titânio</w:t>
            </w:r>
          </w:p>
        </w:tc>
      </w:tr>
    </w:tbl>
    <w:p w:rsidR="00C96EC2" w:rsidRPr="00A532ED" w:rsidRDefault="00C96EC2" w:rsidP="006144D1">
      <w:pPr>
        <w:pStyle w:val="Ttulo3"/>
        <w:widowControl/>
        <w:tabs>
          <w:tab w:val="clear" w:pos="720"/>
          <w:tab w:val="num" w:pos="0"/>
        </w:tabs>
        <w:jc w:val="right"/>
        <w:rPr>
          <w:rFonts w:eastAsia="Times New Roman" w:cs="Times New Roman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>” (NR);</w:t>
      </w:r>
    </w:p>
    <w:p w:rsidR="00C96EC2" w:rsidRPr="00A532ED" w:rsidRDefault="001A1002" w:rsidP="00C96EC2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I</w:t>
      </w:r>
      <w:r w:rsidR="00C96EC2" w:rsidRPr="00A532ED">
        <w:rPr>
          <w:rFonts w:eastAsia="Times New Roman" w:cs="Times New Roman"/>
          <w:bCs/>
          <w:kern w:val="0"/>
          <w:lang w:eastAsia="ar-SA" w:bidi="ar-SA"/>
        </w:rPr>
        <w:t>V - o</w:t>
      </w:r>
      <w:r w:rsidR="00C96EC2" w:rsidRPr="00A532ED">
        <w:rPr>
          <w:rFonts w:eastAsia="Times New Roman"/>
          <w:bCs/>
          <w:kern w:val="0"/>
          <w:lang w:eastAsia="ar-SA" w:bidi="ar-SA"/>
        </w:rPr>
        <w:t> </w:t>
      </w:r>
      <w:r w:rsidR="00C96EC2" w:rsidRPr="00A532ED">
        <w:rPr>
          <w:rFonts w:eastAsia="Times New Roman" w:cs="Times New Roman"/>
          <w:bCs/>
          <w:i/>
          <w:kern w:val="0"/>
          <w:lang w:eastAsia="ar-SA" w:bidi="ar-SA"/>
        </w:rPr>
        <w:t>caput</w:t>
      </w:r>
      <w:r w:rsidR="00C96EC2" w:rsidRPr="00A532ED">
        <w:rPr>
          <w:rFonts w:eastAsia="Times New Roman"/>
          <w:bCs/>
          <w:kern w:val="0"/>
          <w:lang w:eastAsia="ar-SA" w:bidi="ar-SA"/>
        </w:rPr>
        <w:t> </w:t>
      </w:r>
      <w:r w:rsidR="00C96EC2" w:rsidRPr="00A532ED">
        <w:rPr>
          <w:rFonts w:eastAsia="Times New Roman" w:cs="Times New Roman"/>
          <w:bCs/>
          <w:kern w:val="0"/>
          <w:lang w:eastAsia="ar-SA" w:bidi="ar-SA"/>
        </w:rPr>
        <w:t>e os §</w:t>
      </w:r>
      <w:r w:rsidR="00A83112" w:rsidRPr="00A532ED">
        <w:rPr>
          <w:rFonts w:eastAsia="Times New Roman" w:cs="Times New Roman"/>
          <w:bCs/>
          <w:kern w:val="0"/>
          <w:lang w:eastAsia="ar-SA" w:bidi="ar-SA"/>
        </w:rPr>
        <w:t>§</w:t>
      </w:r>
      <w:r w:rsidR="00C96EC2" w:rsidRPr="00A532ED">
        <w:rPr>
          <w:rFonts w:eastAsia="Times New Roman" w:cs="Times New Roman"/>
          <w:bCs/>
          <w:kern w:val="0"/>
          <w:lang w:eastAsia="ar-SA" w:bidi="ar-SA"/>
        </w:rPr>
        <w:t xml:space="preserve"> 2º e 4º do artigo 731-B: (Protocolo ICMS 82/13, efeitos a partir de 01.</w:t>
      </w:r>
      <w:r w:rsidR="003C65A2">
        <w:rPr>
          <w:rFonts w:eastAsia="Times New Roman" w:cs="Times New Roman"/>
          <w:bCs/>
          <w:kern w:val="0"/>
          <w:lang w:eastAsia="ar-SA" w:bidi="ar-SA"/>
        </w:rPr>
        <w:t>0</w:t>
      </w:r>
      <w:r w:rsidR="00C96EC2" w:rsidRPr="00A532ED">
        <w:rPr>
          <w:rFonts w:eastAsia="Times New Roman" w:cs="Times New Roman"/>
          <w:bCs/>
          <w:kern w:val="0"/>
          <w:lang w:eastAsia="ar-SA" w:bidi="ar-SA"/>
        </w:rPr>
        <w:t>1.13)</w:t>
      </w:r>
      <w:r w:rsidR="00C96EC2" w:rsidRPr="00A532ED">
        <w:rPr>
          <w:rFonts w:eastAsia="Times New Roman" w:cs="Times New Roman"/>
          <w:bCs/>
          <w:kern w:val="0"/>
          <w:lang w:eastAsia="ar-SA" w:bidi="ar-SA"/>
        </w:rPr>
        <w:cr/>
      </w:r>
    </w:p>
    <w:p w:rsidR="00C96EC2" w:rsidRDefault="00C96EC2" w:rsidP="00C96EC2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       “Art. 731-B. Os estabelecimentos industriais e importadores deverão identificar a quantidade de saída de Gás Liquefeito derivado de Gás Natural -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de origem nacional, Gás Liquefeito derivado de Gás  Natural -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originado de importação e de Gás Liquefeito de Petróleo - GLP, por operação.</w:t>
      </w:r>
    </w:p>
    <w:p w:rsidR="006144D1" w:rsidRPr="00A532ED" w:rsidRDefault="006144D1" w:rsidP="00C96EC2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C96EC2" w:rsidRPr="00A532ED" w:rsidRDefault="00C96EC2" w:rsidP="00C96EC2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>..............................................................................................................................................................</w:t>
      </w:r>
    </w:p>
    <w:p w:rsidR="00C96EC2" w:rsidRPr="00A532ED" w:rsidRDefault="00C96EC2" w:rsidP="00C96EC2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C96EC2" w:rsidRPr="00A532ED" w:rsidRDefault="00C96EC2" w:rsidP="00C96EC2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§ 2º No corpo da nota fiscal de saída deverá constar os percentuais de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 na quantidade total de saída, obtido de acordo com o disposto no parágrafo anterior.</w:t>
      </w:r>
    </w:p>
    <w:p w:rsidR="0094623A" w:rsidRPr="00A532ED" w:rsidRDefault="0094623A" w:rsidP="0094623A">
      <w:pPr>
        <w:rPr>
          <w:lang w:eastAsia="ar-SA" w:bidi="ar-SA"/>
        </w:rPr>
      </w:pPr>
    </w:p>
    <w:p w:rsidR="009147CD" w:rsidRPr="009147CD" w:rsidRDefault="00C96EC2" w:rsidP="009147CD">
      <w:pPr>
        <w:pStyle w:val="Ttulo3"/>
        <w:widowControl/>
        <w:tabs>
          <w:tab w:val="clear" w:pos="720"/>
          <w:tab w:val="num" w:pos="0"/>
        </w:tabs>
        <w:ind w:firstLine="0"/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>..............................................................................................................................................................</w:t>
      </w:r>
    </w:p>
    <w:p w:rsidR="00C96EC2" w:rsidRPr="00A532ED" w:rsidRDefault="00C96EC2" w:rsidP="00C96EC2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C96EC2" w:rsidRPr="00A532ED" w:rsidRDefault="00C96EC2" w:rsidP="0094623A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§ 4º Relativamente à quantidade proporcional de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o estabelecimento deverá destacar a base de cálculo e o ICMS devido sobre a operação própria, bem como o devido por substituição tributária, incidente na operação."(NR);</w:t>
      </w:r>
    </w:p>
    <w:p w:rsidR="00C96EC2" w:rsidRPr="00A532ED" w:rsidRDefault="00C96EC2" w:rsidP="00256683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C96EC2" w:rsidRPr="00A532ED" w:rsidRDefault="001A1002" w:rsidP="00256683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V</w:t>
      </w:r>
      <w:r w:rsidR="001D75B6" w:rsidRPr="00A532ED">
        <w:rPr>
          <w:rFonts w:eastAsia="Times New Roman" w:cs="Times New Roman"/>
          <w:bCs/>
          <w:kern w:val="0"/>
          <w:lang w:eastAsia="ar-SA" w:bidi="ar-SA"/>
        </w:rPr>
        <w:t xml:space="preserve"> – os itens 13, 53 e 98 da tabela de fármacos e medicamentos constante do item 44 da Tabela II do Anexo I: (Convênio ICMS 137/13, efeitos a partir de 01.01.14)</w:t>
      </w:r>
    </w:p>
    <w:p w:rsidR="00C96EC2" w:rsidRPr="00A532ED" w:rsidRDefault="00C96EC2" w:rsidP="00256683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“</w:t>
      </w:r>
    </w:p>
    <w:p w:rsidR="00C96EC2" w:rsidRPr="00A532ED" w:rsidRDefault="00C96EC2" w:rsidP="00256683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</w:p>
    <w:tbl>
      <w:tblPr>
        <w:tblW w:w="10348" w:type="dxa"/>
        <w:tblInd w:w="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"/>
        <w:gridCol w:w="2108"/>
        <w:gridCol w:w="1461"/>
        <w:gridCol w:w="3905"/>
        <w:gridCol w:w="2147"/>
      </w:tblGrid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lastRenderedPageBreak/>
              <w:t>ITEM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FÁRMACOS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 FÁRMACOS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MEDICAMENTOS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NCM MEDICAMENTOS</w:t>
            </w: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2937.22.90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por cápsula inalante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3003.39.99/</w:t>
            </w: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pó inalante por frasco de 100 doses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3004.39.99</w:t>
            </w: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250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spray por frasco de 200 doses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400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por cápsula inalante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400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pó inalante por frasco de 100 doses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400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pó inalante por frasco de 100 doses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3004.32.90</w:t>
            </w: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250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spray - por frasco de 200 doses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pó inalante por frasco de 100 doses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por cápsula inalante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rPr>
          <w:trHeight w:val="45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Dipropionato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de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Beclometasona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400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mcg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- por cápsula inalante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blPrEx>
          <w:shd w:val="clear" w:color="auto" w:fill="auto"/>
        </w:tblPrEx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56B5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Imiglucerase</w:t>
            </w:r>
            <w:proofErr w:type="spell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3507.90.39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Imiglucerase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200 U.I. - injetável - por frasco-ampola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3003.90.29/ 3004.90.19</w:t>
            </w:r>
          </w:p>
        </w:tc>
      </w:tr>
      <w:tr w:rsidR="00A335D6" w:rsidRPr="00A532ED" w:rsidTr="00D340F8">
        <w:tblPrEx>
          <w:shd w:val="clear" w:color="auto" w:fill="auto"/>
        </w:tblPrEx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98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Tacrolimo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2934.99.99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Tacrolimo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1 mg - por cápsula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3003.90.88/ 3004.90.78</w:t>
            </w:r>
          </w:p>
        </w:tc>
      </w:tr>
      <w:tr w:rsidR="00A335D6" w:rsidRPr="00A532ED" w:rsidTr="00D340F8">
        <w:tblPrEx>
          <w:shd w:val="clear" w:color="auto" w:fill="auto"/>
        </w:tblPrEx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Tacrolimo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5 mg - por cápsula</w:t>
            </w:r>
          </w:p>
        </w:tc>
        <w:tc>
          <w:tcPr>
            <w:tcW w:w="2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A335D6" w:rsidRPr="00A532ED" w:rsidTr="00D340F8">
        <w:tblPrEx>
          <w:shd w:val="clear" w:color="auto" w:fill="auto"/>
        </w:tblPrEx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5D6" w:rsidRPr="00A532ED" w:rsidRDefault="00A335D6" w:rsidP="00181EA7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</w:p>
        </w:tc>
      </w:tr>
    </w:tbl>
    <w:p w:rsidR="00C96EC2" w:rsidRPr="00A532ED" w:rsidRDefault="00A335D6" w:rsidP="007A31B4">
      <w:pPr>
        <w:pStyle w:val="Ttulo3"/>
        <w:widowControl/>
        <w:tabs>
          <w:tab w:val="clear" w:pos="720"/>
          <w:tab w:val="num" w:pos="0"/>
        </w:tabs>
        <w:jc w:val="right"/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 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 xml:space="preserve">      (NR).”</w:t>
      </w:r>
    </w:p>
    <w:p w:rsidR="00C96EC2" w:rsidRPr="00A532ED" w:rsidRDefault="00C96EC2" w:rsidP="00C96EC2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C96EC2" w:rsidRPr="00A532ED" w:rsidRDefault="00C96EC2" w:rsidP="00181EA7">
      <w:pPr>
        <w:ind w:firstLine="540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 xml:space="preserve">VI </w:t>
      </w:r>
      <w:r w:rsidR="001828FD" w:rsidRPr="00A532ED">
        <w:rPr>
          <w:rFonts w:eastAsia="Times New Roman" w:cs="Times New Roman"/>
          <w:b/>
          <w:bCs/>
          <w:kern w:val="0"/>
          <w:lang w:eastAsia="ar-SA" w:bidi="ar-SA"/>
        </w:rPr>
        <w:t>-</w:t>
      </w:r>
      <w:r w:rsidRPr="00A532ED">
        <w:rPr>
          <w:rFonts w:eastAsia="Times New Roman" w:cs="Times New Roman"/>
          <w:kern w:val="0"/>
          <w:lang w:eastAsia="ar-SA" w:bidi="ar-SA"/>
        </w:rPr>
        <w:t xml:space="preserve"> o </w:t>
      </w:r>
      <w:r w:rsidRPr="00A532ED">
        <w:rPr>
          <w:rFonts w:eastAsia="Times New Roman" w:cs="Times New Roman"/>
          <w:i/>
          <w:kern w:val="0"/>
          <w:lang w:eastAsia="ar-SA" w:bidi="ar-SA"/>
        </w:rPr>
        <w:t>caput</w:t>
      </w:r>
      <w:r w:rsidRPr="00A532ED">
        <w:rPr>
          <w:rFonts w:eastAsia="Times New Roman" w:cs="Times New Roman"/>
          <w:kern w:val="0"/>
          <w:lang w:eastAsia="ar-SA" w:bidi="ar-SA"/>
        </w:rPr>
        <w:t xml:space="preserve"> e o parágrafo único do artigo 731-D: (Protocolo ICMS</w:t>
      </w:r>
      <w:r w:rsidR="003C65A2">
        <w:rPr>
          <w:rFonts w:eastAsia="Times New Roman" w:cs="Times New Roman"/>
          <w:kern w:val="0"/>
          <w:lang w:eastAsia="ar-SA" w:bidi="ar-SA"/>
        </w:rPr>
        <w:t xml:space="preserve"> 82/13, efeitos a partir de 01.0</w:t>
      </w:r>
      <w:r w:rsidRPr="00A532ED">
        <w:rPr>
          <w:rFonts w:eastAsia="Times New Roman" w:cs="Times New Roman"/>
          <w:kern w:val="0"/>
          <w:lang w:eastAsia="ar-SA" w:bidi="ar-SA"/>
        </w:rPr>
        <w:t>1.13)</w:t>
      </w:r>
      <w:r w:rsidRPr="00A532ED">
        <w:rPr>
          <w:rFonts w:eastAsia="Times New Roman" w:cs="Times New Roman"/>
          <w:kern w:val="0"/>
          <w:lang w:eastAsia="ar-SA" w:bidi="ar-SA"/>
        </w:rPr>
        <w:cr/>
      </w:r>
    </w:p>
    <w:p w:rsidR="00C96EC2" w:rsidRPr="00A532ED" w:rsidRDefault="00C96EC2" w:rsidP="00181EA7">
      <w:pPr>
        <w:ind w:firstLine="540"/>
        <w:jc w:val="both"/>
        <w:rPr>
          <w:rFonts w:eastAsia="Times New Roman" w:cs="Times New Roman"/>
          <w:b/>
          <w:bCs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>“Art. 731-D. Para efeito do cálculo do imposto devido à unidade federada de destino, deverão ser utilizados os percentuais de GLGN de origem nacional e GLGN originado de importação apurado na forma do artigo 731-C.</w:t>
      </w:r>
    </w:p>
    <w:p w:rsidR="00C96EC2" w:rsidRPr="00A532ED" w:rsidRDefault="00C96EC2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515B5" w:rsidRPr="00A532ED" w:rsidRDefault="00C96EC2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Parágrafo único. No campo "informações complementares" da nota fiscal de saída, deverão constar o percentual a que se refere o</w:t>
      </w:r>
      <w:r w:rsidRPr="00A532ED">
        <w:rPr>
          <w:rFonts w:eastAsia="Times New Roman"/>
          <w:b w:val="0"/>
          <w:bCs w:val="0"/>
          <w:kern w:val="0"/>
          <w:lang w:eastAsia="ar-SA" w:bidi="ar-SA"/>
        </w:rPr>
        <w:t> 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caput, os valores da base de cálculo, do ICMS normal e do devido por substituição tributária, incidentes na operação relativamente à quantidade proporcional de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importação."(NR);</w:t>
      </w:r>
    </w:p>
    <w:p w:rsidR="006515B5" w:rsidRPr="00A532ED" w:rsidRDefault="006515B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515B5" w:rsidRPr="00A532ED" w:rsidRDefault="00AA4E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VII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os incisos I a IV do artigo 731-E: (Protocolo ICMS 82/13,</w:t>
      </w:r>
      <w:r w:rsidR="003C65A2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efeitos a partir de 01.0</w:t>
      </w:r>
      <w:r w:rsidR="002161B3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1.13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)</w:t>
      </w:r>
    </w:p>
    <w:p w:rsidR="006515B5" w:rsidRPr="00A532ED" w:rsidRDefault="006515B5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2161B3" w:rsidRPr="00A532ED" w:rsidRDefault="002161B3" w:rsidP="00181EA7">
      <w:pPr>
        <w:ind w:firstLine="540"/>
        <w:jc w:val="both"/>
        <w:rPr>
          <w:lang w:eastAsia="ar-SA" w:bidi="ar-SA"/>
        </w:rPr>
      </w:pPr>
      <w:r w:rsidRPr="00A532ED">
        <w:rPr>
          <w:lang w:eastAsia="ar-SA" w:bidi="ar-SA"/>
        </w:rPr>
        <w:t>“Art. 731-E......................................................................................................................</w:t>
      </w:r>
      <w:r w:rsidR="006E3F7A" w:rsidRPr="00A532ED">
        <w:rPr>
          <w:lang w:eastAsia="ar-SA" w:bidi="ar-SA"/>
        </w:rPr>
        <w:t>........................</w:t>
      </w:r>
    </w:p>
    <w:p w:rsidR="002161B3" w:rsidRPr="00A532ED" w:rsidRDefault="002161B3" w:rsidP="00181EA7">
      <w:pPr>
        <w:jc w:val="both"/>
        <w:rPr>
          <w:lang w:eastAsia="ar-SA" w:bidi="ar-SA"/>
        </w:rPr>
      </w:pPr>
    </w:p>
    <w:p w:rsidR="00F11929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 xml:space="preserve">I - Anexo I: informar a movimentação com GLP,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por distribuidora;</w:t>
      </w:r>
    </w:p>
    <w:p w:rsidR="00F11929" w:rsidRDefault="00F11929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E3F7A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  <w:t xml:space="preserve">II - Anexo II: informar as operações interestaduais com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realizadas por distribuidora;</w:t>
      </w:r>
    </w:p>
    <w:p w:rsidR="00F11929" w:rsidRPr="00F11929" w:rsidRDefault="00F11929" w:rsidP="00F11929">
      <w:pPr>
        <w:rPr>
          <w:lang w:eastAsia="ar-SA" w:bidi="ar-SA"/>
        </w:rPr>
      </w:pPr>
    </w:p>
    <w:p w:rsidR="006E3F7A" w:rsidRDefault="006E3F7A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III - Anexo III: informar o resumo das operações interestaduais com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de origem nacional e </w:t>
      </w:r>
      <w:proofErr w:type="spellStart"/>
      <w:r w:rsidR="002161B3" w:rsidRPr="00A532ED">
        <w:rPr>
          <w:rFonts w:eastAsia="Times New Roman" w:cs="Times New Roman"/>
          <w:bCs/>
          <w:kern w:val="0"/>
          <w:lang w:eastAsia="ar-SA" w:bidi="ar-SA"/>
        </w:rPr>
        <w:t>GLGNi</w:t>
      </w:r>
      <w:proofErr w:type="spellEnd"/>
      <w:r w:rsidR="002161B3" w:rsidRPr="00A532ED">
        <w:rPr>
          <w:rFonts w:eastAsia="Times New Roman" w:cs="Times New Roman"/>
          <w:bCs/>
          <w:kern w:val="0"/>
          <w:lang w:eastAsia="ar-SA" w:bidi="ar-SA"/>
        </w:rPr>
        <w:t xml:space="preserve"> originado de importação, realizadas por distribuidora;</w:t>
      </w:r>
    </w:p>
    <w:p w:rsidR="00F11929" w:rsidRPr="00A532ED" w:rsidRDefault="00F11929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AA4E7F" w:rsidRDefault="00AA4E7F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IV - Anexo IV: demonstrar o recolhimento do ICMS, por unidade federada de destino, referente às operações com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originado de importação a ser apresentado pela refinaria de petróleo ou suas bases.</w:t>
      </w:r>
    </w:p>
    <w:p w:rsidR="006144D1" w:rsidRPr="00A532ED" w:rsidRDefault="006144D1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AA4E7F" w:rsidRPr="00A532ED" w:rsidRDefault="00BB788B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</w:t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" (NR);</w:t>
      </w:r>
    </w:p>
    <w:p w:rsidR="00B260F0" w:rsidRPr="00A532ED" w:rsidRDefault="00B260F0" w:rsidP="00181EA7">
      <w:pPr>
        <w:jc w:val="both"/>
        <w:rPr>
          <w:rFonts w:eastAsia="Times New Roman" w:cs="Times New Roman"/>
          <w:b/>
          <w:bCs/>
          <w:kern w:val="0"/>
          <w:lang w:eastAsia="ar-SA" w:bidi="ar-SA"/>
        </w:rPr>
      </w:pPr>
    </w:p>
    <w:p w:rsidR="00AA4E7F" w:rsidRPr="00A532ED" w:rsidRDefault="00B260F0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VIII - o</w:t>
      </w:r>
      <w:r w:rsidRPr="00A532ED">
        <w:rPr>
          <w:rFonts w:eastAsia="Times New Roman"/>
          <w:bCs/>
          <w:kern w:val="0"/>
          <w:lang w:eastAsia="ar-SA" w:bidi="ar-SA"/>
        </w:rPr>
        <w:t> </w:t>
      </w:r>
      <w:r w:rsidRPr="00A532ED">
        <w:rPr>
          <w:rFonts w:eastAsia="Times New Roman" w:cs="Times New Roman"/>
          <w:bCs/>
          <w:i/>
          <w:kern w:val="0"/>
          <w:lang w:eastAsia="ar-SA" w:bidi="ar-SA"/>
        </w:rPr>
        <w:t>caput</w:t>
      </w:r>
      <w:r w:rsidRPr="00A532ED">
        <w:rPr>
          <w:rFonts w:eastAsia="Times New Roman"/>
          <w:bCs/>
          <w:kern w:val="0"/>
          <w:lang w:eastAsia="ar-SA" w:bidi="ar-SA"/>
        </w:rPr>
        <w:t> </w:t>
      </w: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e os incisos I e VI do artigo 731-F: (Protocolo ICMS 82/13, efeitos a partir de </w:t>
      </w:r>
      <w:r w:rsidR="003C65A2">
        <w:rPr>
          <w:rFonts w:eastAsia="Times New Roman" w:cs="Times New Roman"/>
          <w:bCs/>
          <w:kern w:val="0"/>
          <w:lang w:eastAsia="ar-SA" w:bidi="ar-SA"/>
        </w:rPr>
        <w:t>01.0</w:t>
      </w:r>
      <w:r w:rsidR="00C61DCB" w:rsidRPr="00A532ED">
        <w:rPr>
          <w:rFonts w:eastAsia="Times New Roman" w:cs="Times New Roman"/>
          <w:bCs/>
          <w:kern w:val="0"/>
          <w:lang w:eastAsia="ar-SA" w:bidi="ar-SA"/>
        </w:rPr>
        <w:t>1.13)</w:t>
      </w:r>
    </w:p>
    <w:p w:rsidR="00B260F0" w:rsidRPr="00A532ED" w:rsidRDefault="00B260F0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AA4E7F" w:rsidRPr="00A532ED" w:rsidRDefault="00B260F0" w:rsidP="00181EA7">
      <w:pPr>
        <w:ind w:firstLine="709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“Art. 731-F. O contribuinte substituído que tiver recebido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AA4E7F" w:rsidRPr="00A532ED">
        <w:rPr>
          <w:rFonts w:eastAsia="Times New Roman" w:cs="Times New Roman"/>
          <w:bCs/>
          <w:kern w:val="0"/>
          <w:lang w:eastAsia="ar-SA" w:bidi="ar-SA"/>
        </w:rPr>
        <w:t>originado de importação diretamente do sujeito passivo por substituição ou de outro contribuinte substituído, em relação à operação interestadual que realizar, deverá:</w:t>
      </w:r>
    </w:p>
    <w:p w:rsidR="00AA4E7F" w:rsidRPr="00A532ED" w:rsidRDefault="00AA4E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AA4E7F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I - elaborar relatório da movimentação de GLP, </w:t>
      </w:r>
      <w:proofErr w:type="spellStart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 realizada no mês, em 2 (duas) vias, de acordo com o modelo constante no Anexo I do artigo 731-E;</w:t>
      </w:r>
    </w:p>
    <w:p w:rsidR="00AA4E7F" w:rsidRPr="00A532ED" w:rsidRDefault="00AA4E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AA4E7F" w:rsidRPr="00A532ED" w:rsidRDefault="00BB788B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:rsidR="00AA4E7F" w:rsidRPr="00A532ED" w:rsidRDefault="00AA4E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AA4E7F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VI - remeter, até o sexto dia de cada mês, uma das vias protocoladas nos termos do inciso IV, à unidade federada de destino do </w:t>
      </w:r>
      <w:proofErr w:type="spellStart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dos relatórios identificados como Anexos II e III do artigo 731-E, bem como cópia da via protocolada do relatório identificado como Anexo I do artigo 731-E.</w:t>
      </w:r>
    </w:p>
    <w:p w:rsidR="0094623A" w:rsidRPr="00A532ED" w:rsidRDefault="0094623A" w:rsidP="0094623A">
      <w:pPr>
        <w:rPr>
          <w:lang w:eastAsia="ar-SA" w:bidi="ar-SA"/>
        </w:rPr>
      </w:pPr>
    </w:p>
    <w:p w:rsidR="00C96EC2" w:rsidRPr="00A532ED" w:rsidRDefault="00BB788B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ab/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</w:t>
      </w:r>
      <w:r w:rsidR="00AA4E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."</w:t>
      </w:r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(NR)</w:t>
      </w:r>
      <w:r w:rsidR="00B260F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C96EC2" w:rsidRPr="00A532ED" w:rsidRDefault="00C96EC2" w:rsidP="00181EA7">
      <w:pPr>
        <w:jc w:val="both"/>
        <w:rPr>
          <w:lang w:eastAsia="ar-SA" w:bidi="ar-SA"/>
        </w:rPr>
      </w:pPr>
    </w:p>
    <w:p w:rsidR="00C61DCB" w:rsidRPr="00A532ED" w:rsidRDefault="00C96EC2" w:rsidP="00181EA7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lang w:eastAsia="ar-SA" w:bidi="ar-SA"/>
        </w:rPr>
        <w:t xml:space="preserve">IX - </w:t>
      </w:r>
      <w:r w:rsidRPr="00A532ED">
        <w:rPr>
          <w:rFonts w:eastAsia="Times New Roman" w:cs="Times New Roman"/>
          <w:kern w:val="0"/>
          <w:lang w:eastAsia="ar-SA" w:bidi="ar-SA"/>
        </w:rPr>
        <w:t>o inciso I do</w:t>
      </w:r>
      <w:r w:rsidRPr="00A532ED">
        <w:rPr>
          <w:rFonts w:eastAsia="Times New Roman"/>
          <w:kern w:val="0"/>
          <w:lang w:eastAsia="ar-SA" w:bidi="ar-SA"/>
        </w:rPr>
        <w:t> </w:t>
      </w:r>
      <w:r w:rsidRPr="00A532ED">
        <w:rPr>
          <w:rFonts w:eastAsia="Times New Roman" w:cs="Times New Roman"/>
          <w:kern w:val="0"/>
          <w:lang w:eastAsia="ar-SA" w:bidi="ar-SA"/>
        </w:rPr>
        <w:t>artigo 731-G: (Protocolo ICMS</w:t>
      </w:r>
      <w:r w:rsidR="003C65A2">
        <w:rPr>
          <w:rFonts w:eastAsia="Times New Roman" w:cs="Times New Roman"/>
          <w:kern w:val="0"/>
          <w:lang w:eastAsia="ar-SA" w:bidi="ar-SA"/>
        </w:rPr>
        <w:t xml:space="preserve"> 82/13, efeitos a partir de 01.0</w:t>
      </w:r>
      <w:r w:rsidRPr="00A532ED">
        <w:rPr>
          <w:rFonts w:eastAsia="Times New Roman" w:cs="Times New Roman"/>
          <w:kern w:val="0"/>
          <w:lang w:eastAsia="ar-SA" w:bidi="ar-SA"/>
        </w:rPr>
        <w:t>1.13)</w:t>
      </w:r>
    </w:p>
    <w:p w:rsidR="00C96EC2" w:rsidRPr="00A532ED" w:rsidRDefault="00C96EC2" w:rsidP="00181EA7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C96EC2" w:rsidRPr="00A532ED" w:rsidRDefault="00C96EC2" w:rsidP="00F11929">
      <w:pPr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>“Art. 731-G..........................................................................................................</w:t>
      </w:r>
      <w:r w:rsidR="00F11929">
        <w:rPr>
          <w:rFonts w:eastAsia="Times New Roman" w:cs="Times New Roman"/>
          <w:kern w:val="0"/>
          <w:lang w:eastAsia="ar-SA" w:bidi="ar-SA"/>
        </w:rPr>
        <w:t>............................</w:t>
      </w:r>
      <w:r w:rsidR="00C975F9">
        <w:rPr>
          <w:rFonts w:eastAsia="Times New Roman" w:cs="Times New Roman"/>
          <w:kern w:val="0"/>
          <w:lang w:eastAsia="ar-SA" w:bidi="ar-SA"/>
        </w:rPr>
        <w:t>....</w:t>
      </w:r>
    </w:p>
    <w:p w:rsidR="00C96EC2" w:rsidRPr="00A532ED" w:rsidRDefault="00C96EC2" w:rsidP="00181EA7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C61DCB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I - elaborar os relatórios demonstrativos dos recolhimentos do ICMS devido, relativos aos </w:t>
      </w:r>
      <w:proofErr w:type="spellStart"/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="00C61DCB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no mês, em 2 (duas) vias, por unidade federada de destino, de acordo com o modelo constante no Anexo IV a que se refer</w:t>
      </w:r>
      <w:r w:rsidR="00B260F0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e o inciso IV do artigo 731-E.</w:t>
      </w:r>
    </w:p>
    <w:p w:rsidR="00B260F0" w:rsidRPr="00A532ED" w:rsidRDefault="00B260F0" w:rsidP="00181EA7">
      <w:pPr>
        <w:jc w:val="both"/>
        <w:rPr>
          <w:lang w:eastAsia="ar-SA" w:bidi="ar-SA"/>
        </w:rPr>
      </w:pPr>
    </w:p>
    <w:p w:rsidR="00B260F0" w:rsidRPr="00A532ED" w:rsidRDefault="00B260F0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ab/>
        <w:t>...................................................................................................................................................”(NR);</w:t>
      </w:r>
    </w:p>
    <w:p w:rsidR="00C61DCB" w:rsidRPr="00A532ED" w:rsidRDefault="00C61DCB" w:rsidP="00181EA7">
      <w:pPr>
        <w:jc w:val="both"/>
        <w:rPr>
          <w:lang w:eastAsia="ar-SA" w:bidi="ar-SA"/>
        </w:rPr>
      </w:pPr>
    </w:p>
    <w:p w:rsidR="00A9597F" w:rsidRPr="00A532ED" w:rsidRDefault="006E3F7A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959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X - o</w:t>
      </w:r>
      <w:r w:rsidR="00A9597F" w:rsidRPr="00A532ED">
        <w:rPr>
          <w:rFonts w:eastAsia="Times New Roman"/>
          <w:b w:val="0"/>
          <w:bCs w:val="0"/>
          <w:kern w:val="0"/>
          <w:lang w:eastAsia="ar-SA" w:bidi="ar-SA"/>
        </w:rPr>
        <w:t> </w:t>
      </w:r>
      <w:r w:rsidR="00A9597F" w:rsidRPr="00A532ED">
        <w:rPr>
          <w:rFonts w:eastAsia="Times New Roman" w:cs="Times New Roman"/>
          <w:b w:val="0"/>
          <w:bCs w:val="0"/>
          <w:i/>
          <w:kern w:val="0"/>
          <w:lang w:eastAsia="ar-SA" w:bidi="ar-SA"/>
        </w:rPr>
        <w:t>caput</w:t>
      </w:r>
      <w:r w:rsidR="00A9597F" w:rsidRPr="00A532ED">
        <w:rPr>
          <w:rFonts w:eastAsia="Times New Roman"/>
          <w:b w:val="0"/>
          <w:bCs w:val="0"/>
          <w:kern w:val="0"/>
          <w:lang w:eastAsia="ar-SA" w:bidi="ar-SA"/>
        </w:rPr>
        <w:t> </w:t>
      </w:r>
      <w:r w:rsidR="00A959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do artigo 731-H: (Protocolo ICMS</w:t>
      </w:r>
      <w:r w:rsidR="003C65A2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82/13, efeitos a partir de 01.0</w:t>
      </w:r>
      <w:r w:rsidR="00A959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1.13) </w:t>
      </w:r>
    </w:p>
    <w:p w:rsidR="00A9597F" w:rsidRPr="00A532ED" w:rsidRDefault="00A959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A9597F" w:rsidRPr="00A532ED" w:rsidRDefault="00A959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“Art. 731-H. O contribuinte responderá pelo recolhimento dos acréscimos legais previstos na legislação da unidade federada de destino do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importação, nas hipóteses:</w:t>
      </w:r>
    </w:p>
    <w:p w:rsidR="00A9597F" w:rsidRPr="00A532ED" w:rsidRDefault="00A9597F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A9597F" w:rsidRPr="00A532ED" w:rsidRDefault="00BB788B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A959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</w:t>
      </w:r>
      <w:r w:rsidR="00A9597F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"( NR)</w:t>
      </w:r>
      <w:r w:rsidR="006144D1">
        <w:rPr>
          <w:rFonts w:eastAsia="Times New Roman" w:cs="Times New Roman"/>
          <w:b w:val="0"/>
          <w:bCs w:val="0"/>
          <w:kern w:val="0"/>
          <w:lang w:eastAsia="ar-SA" w:bidi="ar-SA"/>
        </w:rPr>
        <w:t>;</w:t>
      </w:r>
    </w:p>
    <w:p w:rsidR="00A9597F" w:rsidRPr="00A532ED" w:rsidRDefault="00A9597F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E3F7A" w:rsidRPr="00A532ED" w:rsidRDefault="006E3F7A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XI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os incisos I e II do</w:t>
      </w:r>
      <w:r w:rsidRPr="00A532ED">
        <w:rPr>
          <w:rFonts w:eastAsia="Times New Roman"/>
          <w:b w:val="0"/>
          <w:bCs w:val="0"/>
          <w:kern w:val="0"/>
          <w:lang w:eastAsia="ar-SA" w:bidi="ar-SA"/>
        </w:rPr>
        <w:t> 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artigo 731-J: (Protocolo ICMS</w:t>
      </w:r>
      <w:r w:rsidR="003C65A2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82/13, efeitos a partir de 01.0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1.13)</w:t>
      </w:r>
    </w:p>
    <w:p w:rsidR="006E3F7A" w:rsidRPr="00A532ED" w:rsidRDefault="006E3F7A" w:rsidP="00181EA7">
      <w:pPr>
        <w:jc w:val="both"/>
        <w:rPr>
          <w:lang w:eastAsia="ar-SA" w:bidi="ar-SA"/>
        </w:rPr>
      </w:pPr>
      <w:r w:rsidRPr="00A532ED">
        <w:rPr>
          <w:lang w:eastAsia="ar-SA" w:bidi="ar-SA"/>
        </w:rPr>
        <w:t xml:space="preserve"> </w:t>
      </w:r>
    </w:p>
    <w:p w:rsidR="006515B5" w:rsidRPr="00A532ED" w:rsidRDefault="006515B5" w:rsidP="00181EA7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“Art. 731-J.....................................................................................................................</w:t>
      </w:r>
      <w:r w:rsidR="006E3F7A" w:rsidRPr="00A532ED">
        <w:rPr>
          <w:rFonts w:eastAsia="Times New Roman" w:cs="Times New Roman"/>
          <w:bCs/>
          <w:kern w:val="0"/>
          <w:lang w:eastAsia="ar-SA" w:bidi="ar-SA"/>
        </w:rPr>
        <w:t>.......................</w:t>
      </w:r>
    </w:p>
    <w:p w:rsidR="00475819" w:rsidRPr="00A532ED" w:rsidRDefault="00475819" w:rsidP="00181EA7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475819" w:rsidRPr="00A532ED" w:rsidRDefault="0047581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I - apurar o valor do imposto a ser repassado às unidades federadas de destino do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de origem nacional e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originado de importação;</w:t>
      </w:r>
    </w:p>
    <w:p w:rsidR="00475819" w:rsidRPr="00A532ED" w:rsidRDefault="00475819" w:rsidP="00181EA7">
      <w:pPr>
        <w:jc w:val="both"/>
        <w:rPr>
          <w:lang w:eastAsia="ar-SA" w:bidi="ar-SA"/>
        </w:rPr>
      </w:pPr>
    </w:p>
    <w:p w:rsidR="00475819" w:rsidRPr="00A532ED" w:rsidRDefault="00475819" w:rsidP="00181EA7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II - efetuar o repasse do valor do imposto devido às unidades federadas de destino do </w:t>
      </w:r>
      <w:proofErr w:type="spellStart"/>
      <w:r w:rsidRPr="00A532ED">
        <w:rPr>
          <w:rFonts w:eastAsia="Times New Roman" w:cs="Times New Roman"/>
          <w:bCs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de </w:t>
      </w:r>
      <w:r w:rsidR="006515B5" w:rsidRPr="00A532ED">
        <w:rPr>
          <w:rFonts w:eastAsia="Times New Roman" w:cs="Times New Roman"/>
          <w:bCs/>
          <w:kern w:val="0"/>
          <w:lang w:eastAsia="ar-SA" w:bidi="ar-SA"/>
        </w:rPr>
        <w:t xml:space="preserve">origem nacional e </w:t>
      </w:r>
      <w:proofErr w:type="spellStart"/>
      <w:r w:rsidR="006515B5" w:rsidRPr="00A532ED">
        <w:rPr>
          <w:rFonts w:eastAsia="Times New Roman" w:cs="Times New Roman"/>
          <w:bCs/>
          <w:kern w:val="0"/>
          <w:lang w:eastAsia="ar-SA" w:bidi="ar-SA"/>
        </w:rPr>
        <w:t>GLGNi</w:t>
      </w:r>
      <w:proofErr w:type="spellEnd"/>
      <w:r w:rsidR="006515B5" w:rsidRPr="00A532ED">
        <w:rPr>
          <w:rFonts w:eastAsia="Times New Roman" w:cs="Times New Roman"/>
          <w:bCs/>
          <w:kern w:val="0"/>
          <w:lang w:eastAsia="ar-SA" w:bidi="ar-SA"/>
        </w:rPr>
        <w:t xml:space="preserve"> originado de importação, até o 10° (décimo) dia do mês </w:t>
      </w:r>
      <w:proofErr w:type="spellStart"/>
      <w:r w:rsidR="006515B5" w:rsidRPr="00A532ED">
        <w:rPr>
          <w:rFonts w:eastAsia="Times New Roman" w:cs="Times New Roman"/>
          <w:bCs/>
          <w:kern w:val="0"/>
          <w:lang w:eastAsia="ar-SA" w:bidi="ar-SA"/>
        </w:rPr>
        <w:t>subseqüente</w:t>
      </w:r>
      <w:proofErr w:type="spellEnd"/>
      <w:r w:rsidR="006515B5" w:rsidRPr="00A532ED">
        <w:rPr>
          <w:rFonts w:eastAsia="Times New Roman" w:cs="Times New Roman"/>
          <w:bCs/>
          <w:kern w:val="0"/>
          <w:lang w:eastAsia="ar-SA" w:bidi="ar-SA"/>
        </w:rPr>
        <w:t xml:space="preserve"> àquele em </w:t>
      </w:r>
    </w:p>
    <w:p w:rsidR="006515B5" w:rsidRPr="00A532ED" w:rsidRDefault="006515B5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que tenham ocorrido as operações interestaduais.</w:t>
      </w:r>
    </w:p>
    <w:p w:rsidR="005C7F3E" w:rsidRPr="00A532ED" w:rsidRDefault="005C7F3E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6515B5" w:rsidRPr="00A532ED" w:rsidRDefault="00BB788B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ab/>
      </w:r>
      <w:r w:rsidR="00EF4EE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</w:t>
      </w:r>
      <w:r w:rsidR="00EF4EE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</w:t>
      </w: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</w:t>
      </w:r>
      <w:r w:rsidR="00EF4EE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(NR);</w:t>
      </w:r>
    </w:p>
    <w:p w:rsidR="006515B5" w:rsidRPr="00A532ED" w:rsidRDefault="006515B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6515B5" w:rsidRPr="00A532ED" w:rsidRDefault="00EF4EEA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X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II – o artigo 731-M: (Protocolo ICMS 82/13,</w:t>
      </w:r>
      <w:r w:rsidR="003C65A2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efeitos a partir de 01.0</w:t>
      </w:r>
      <w:r w:rsidR="00045BF6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1.13</w:t>
      </w:r>
      <w:r w:rsidR="006515B5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)</w:t>
      </w:r>
    </w:p>
    <w:p w:rsidR="006515B5" w:rsidRPr="00A532ED" w:rsidRDefault="006515B5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7A31B4" w:rsidRPr="00A532ED" w:rsidRDefault="006515B5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“Art. 731-M. As bases de cálculo da substituição tributária do GLP,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GLGNn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e do </w:t>
      </w:r>
      <w:proofErr w:type="spellStart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GLGNi</w:t>
      </w:r>
      <w:proofErr w:type="spellEnd"/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serão idênticas na mesma operação, observada a legislação interna de cada unidade federada.</w:t>
      </w:r>
      <w:r w:rsidR="00EF4EEA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”(NR);</w:t>
      </w:r>
    </w:p>
    <w:p w:rsidR="007A31B4" w:rsidRPr="00A532ED" w:rsidRDefault="007A31B4" w:rsidP="00181EA7">
      <w:pPr>
        <w:jc w:val="both"/>
        <w:rPr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XIII – o formulário constante do Anexo XVI “relatório da movimentação de gás liquefeito derivado de gás natural realizada por distribuidora - Código 506”, conforme Anexo I deste Decreto.</w:t>
      </w:r>
    </w:p>
    <w:p w:rsidR="007A31B4" w:rsidRPr="00A532ED" w:rsidRDefault="007A31B4" w:rsidP="00181EA7">
      <w:pPr>
        <w:jc w:val="both"/>
        <w:rPr>
          <w:lang w:eastAsia="ar-SA" w:bidi="ar-SA"/>
        </w:rPr>
      </w:pPr>
    </w:p>
    <w:p w:rsidR="007A31B4" w:rsidRPr="00A532ED" w:rsidRDefault="007A31B4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>XIV - o formulário constante do Anexo XVI “relatório das operações interestaduais com gás liquefeito derivado de gás natural realizada por distribuidora - Código 507”, conforme Anexo II deste Decreto.</w:t>
      </w:r>
    </w:p>
    <w:p w:rsidR="00225732" w:rsidRPr="00A532ED" w:rsidRDefault="00225732" w:rsidP="00181EA7">
      <w:pPr>
        <w:jc w:val="both"/>
        <w:rPr>
          <w:lang w:eastAsia="ar-SA" w:bidi="ar-SA"/>
        </w:rPr>
      </w:pPr>
    </w:p>
    <w:p w:rsidR="007622C2" w:rsidRPr="00A532ED" w:rsidRDefault="00225732" w:rsidP="00181EA7">
      <w:pPr>
        <w:ind w:firstLine="540"/>
        <w:jc w:val="both"/>
        <w:rPr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>XV - o formulário constante do Anexo XVI “resumo das operações interestaduais com gás</w:t>
      </w:r>
      <w:r w:rsidR="00267660" w:rsidRPr="00A532E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7622C2" w:rsidRPr="00A532ED">
        <w:rPr>
          <w:rFonts w:eastAsia="Times New Roman" w:cs="Times New Roman"/>
          <w:bCs/>
          <w:kern w:val="0"/>
          <w:lang w:eastAsia="ar-SA" w:bidi="ar-SA"/>
        </w:rPr>
        <w:t>liquefeito derivado de gás natural realizada por distribuidora - Código 508”, conforme Anexo III deste</w:t>
      </w:r>
      <w:r w:rsidR="007622C2" w:rsidRPr="00A532E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622C2" w:rsidRPr="00A532ED">
        <w:rPr>
          <w:rFonts w:eastAsia="Times New Roman" w:cs="Times New Roman"/>
          <w:bCs/>
          <w:kern w:val="0"/>
          <w:lang w:eastAsia="ar-SA" w:bidi="ar-SA"/>
        </w:rPr>
        <w:t>Decreto.</w:t>
      </w:r>
      <w:r w:rsidR="007622C2" w:rsidRPr="00A532E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</w:p>
    <w:p w:rsidR="00C96EC2" w:rsidRPr="00A532ED" w:rsidRDefault="00C96EC2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475819" w:rsidRPr="00A532ED" w:rsidRDefault="00475819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XVI - os itens 01, 13, 67 e 74 da tabela das empresas de telecomunicações constante no Anexo XXIII. (Ato COTEPE 40/13, efeitos a partir de 01.10.13) </w:t>
      </w:r>
    </w:p>
    <w:p w:rsidR="00475819" w:rsidRPr="00A532ED" w:rsidRDefault="00475819" w:rsidP="00475819">
      <w:pPr>
        <w:rPr>
          <w:lang w:eastAsia="ar-SA" w:bidi="ar-SA"/>
        </w:rPr>
      </w:pPr>
      <w:r w:rsidRPr="00A532ED">
        <w:rPr>
          <w:lang w:eastAsia="ar-SA" w:bidi="ar-SA"/>
        </w:rPr>
        <w:t>“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647"/>
        <w:gridCol w:w="1847"/>
        <w:gridCol w:w="1020"/>
        <w:gridCol w:w="4045"/>
      </w:tblGrid>
      <w:tr w:rsidR="00475819" w:rsidRPr="00A532ED" w:rsidTr="00D340F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6144D1" w:rsidRDefault="006144D1" w:rsidP="006144D1">
            <w:pPr>
              <w:pStyle w:val="Ttulo3"/>
              <w:widowControl/>
              <w:tabs>
                <w:tab w:val="clear" w:pos="720"/>
                <w:tab w:val="num" w:pos="0"/>
              </w:tabs>
              <w:jc w:val="left"/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</w:pPr>
            <w:proofErr w:type="spellStart"/>
            <w:r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II</w:t>
            </w:r>
            <w:r w:rsidR="00475819"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tem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Empresa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CNPJ DA MATRIZ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Sede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Área de Atuação</w:t>
            </w:r>
          </w:p>
        </w:tc>
      </w:tr>
      <w:tr w:rsidR="00475819" w:rsidRPr="00A532ED" w:rsidTr="00D340F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6144D1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</w:pPr>
            <w:r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001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OI MÓVEL S/A.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05.423.963/0001-11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Brasília - DF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Todo o território nacional (SMP)</w:t>
            </w:r>
          </w:p>
        </w:tc>
      </w:tr>
      <w:tr w:rsidR="00475819" w:rsidRPr="00A532ED" w:rsidTr="00D340F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6144D1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</w:pPr>
            <w:r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113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TELECOM 65 LTDA.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07.716.753/0001-47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São Paulo - SP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Todo o território nacional (STFC Local, LDN, LDI)</w:t>
            </w:r>
          </w:p>
        </w:tc>
      </w:tr>
      <w:tr w:rsidR="00475819" w:rsidRPr="00A532ED" w:rsidTr="00D340F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6144D1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</w:pPr>
            <w:r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667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SERCOMTEL S/A TELECOMUNICAÇÕES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01.371.416/0001-89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Londrina - PR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STFC Local, LDN, LDI - PR</w:t>
            </w:r>
          </w:p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SMP - Municípios de Londrina e </w:t>
            </w:r>
            <w:proofErr w:type="spellStart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Tamarana</w:t>
            </w:r>
            <w:proofErr w:type="spellEnd"/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/PR</w:t>
            </w:r>
          </w:p>
        </w:tc>
      </w:tr>
      <w:tr w:rsidR="00475819" w:rsidRPr="00A532ED" w:rsidTr="00D340F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6144D1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jc w:val="center"/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</w:pPr>
            <w:r w:rsidRPr="006144D1">
              <w:rPr>
                <w:rFonts w:eastAsia="Times New Roman" w:cs="Times New Roman"/>
                <w:b w:val="0"/>
                <w:bCs w:val="0"/>
                <w:kern w:val="0"/>
                <w:sz w:val="23"/>
                <w:szCs w:val="23"/>
                <w:lang w:eastAsia="ar-SA" w:bidi="ar-SA"/>
              </w:rPr>
              <w:t>774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F11929" w:rsidP="00F11929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TELEXPERTS</w:t>
            </w:r>
            <w:r w:rsidR="00475819"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TELECOMUNICAÇÕES</w:t>
            </w:r>
            <w:r w:rsidR="00475819"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LTDA</w:t>
            </w:r>
            <w:r w:rsidR="00475819"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07.625.852/0001-13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Rio de Janeiro - RJ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19" w:rsidRPr="00A532ED" w:rsidRDefault="00475819" w:rsidP="00EF4EEA">
            <w:pPr>
              <w:pStyle w:val="Ttulo3"/>
              <w:widowControl/>
              <w:tabs>
                <w:tab w:val="clear" w:pos="720"/>
                <w:tab w:val="num" w:pos="0"/>
              </w:tabs>
              <w:ind w:firstLine="0"/>
              <w:jc w:val="center"/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</w:pPr>
            <w:r w:rsidRPr="00A532ED">
              <w:rPr>
                <w:rFonts w:eastAsia="Times New Roman" w:cs="Times New Roman"/>
                <w:b w:val="0"/>
                <w:bCs w:val="0"/>
                <w:kern w:val="0"/>
                <w:lang w:eastAsia="ar-SA" w:bidi="ar-SA"/>
              </w:rPr>
              <w:t>Regiões I, II e III (STFC Local, LDN, LDI)</w:t>
            </w:r>
          </w:p>
        </w:tc>
      </w:tr>
    </w:tbl>
    <w:p w:rsidR="00B12C60" w:rsidRPr="00A532ED" w:rsidRDefault="00475819" w:rsidP="00B12C60">
      <w:pPr>
        <w:jc w:val="right"/>
        <w:rPr>
          <w:lang w:eastAsia="ar-SA" w:bidi="ar-SA"/>
        </w:rPr>
      </w:pPr>
      <w:r w:rsidRPr="00A532ED">
        <w:rPr>
          <w:lang w:eastAsia="ar-SA" w:bidi="ar-SA"/>
        </w:rPr>
        <w:t>”</w:t>
      </w:r>
    </w:p>
    <w:p w:rsidR="00B12C60" w:rsidRPr="00A532ED" w:rsidRDefault="00B12C60" w:rsidP="00B12C60">
      <w:pPr>
        <w:jc w:val="right"/>
        <w:rPr>
          <w:lang w:eastAsia="ar-SA" w:bidi="ar-SA"/>
        </w:rPr>
      </w:pPr>
    </w:p>
    <w:p w:rsidR="00B34255" w:rsidRPr="00A532ED" w:rsidRDefault="00F11929" w:rsidP="00F11929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     </w:t>
      </w:r>
      <w:r w:rsidR="000D7CF9" w:rsidRPr="00A532ED">
        <w:rPr>
          <w:rFonts w:eastAsia="Times New Roman" w:cs="Times New Roman"/>
          <w:bCs/>
          <w:kern w:val="0"/>
          <w:lang w:eastAsia="ar-SA" w:bidi="ar-SA"/>
        </w:rPr>
        <w:t xml:space="preserve">XVII </w:t>
      </w:r>
      <w:r w:rsidR="00B34255" w:rsidRPr="00A532ED">
        <w:rPr>
          <w:rFonts w:eastAsia="Times New Roman" w:cs="Times New Roman"/>
          <w:bCs/>
          <w:kern w:val="0"/>
          <w:lang w:eastAsia="ar-SA" w:bidi="ar-SA"/>
        </w:rPr>
        <w:t xml:space="preserve">- o </w:t>
      </w:r>
      <w:r w:rsidR="00B34255" w:rsidRPr="00A532ED">
        <w:rPr>
          <w:rFonts w:eastAsia="Times New Roman" w:cs="Times New Roman"/>
          <w:bCs/>
          <w:i/>
          <w:kern w:val="0"/>
          <w:lang w:eastAsia="ar-SA" w:bidi="ar-SA"/>
        </w:rPr>
        <w:t>caput</w:t>
      </w:r>
      <w:r w:rsidR="00B34255" w:rsidRPr="00A532ED">
        <w:rPr>
          <w:rFonts w:eastAsia="Times New Roman" w:cs="Times New Roman"/>
          <w:bCs/>
          <w:kern w:val="0"/>
          <w:lang w:eastAsia="ar-SA" w:bidi="ar-SA"/>
        </w:rPr>
        <w:t xml:space="preserve"> do artigo 331-B e seu §3º: (Ajuste SINIEF 16/13, efeitos a partir de 01.12.13)</w:t>
      </w:r>
    </w:p>
    <w:p w:rsidR="00B12C60" w:rsidRPr="00A532ED" w:rsidRDefault="00B12C60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B34255" w:rsidRPr="00A532ED" w:rsidRDefault="00AD73F4" w:rsidP="00181EA7">
      <w:pPr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A532ED">
        <w:rPr>
          <w:rFonts w:eastAsia="Times New Roman" w:cs="Times New Roman"/>
          <w:bCs/>
          <w:kern w:val="0"/>
          <w:lang w:eastAsia="ar-SA" w:bidi="ar-SA"/>
        </w:rPr>
        <w:t xml:space="preserve">     </w:t>
      </w:r>
      <w:r w:rsidR="00B12C60" w:rsidRPr="00A532ED">
        <w:rPr>
          <w:rFonts w:eastAsia="Times New Roman" w:cs="Times New Roman"/>
          <w:bCs/>
          <w:kern w:val="0"/>
          <w:lang w:eastAsia="ar-SA" w:bidi="ar-SA"/>
        </w:rPr>
        <w:t xml:space="preserve">“Art. 331-B. Fica dispensada a emissão de nota fiscal para documentar a coleta, a remessa para armazenagem e a remessa dos lojistas até os destinatários finais, fabricantes ou importadores, dos </w:t>
      </w:r>
      <w:r w:rsidR="00B34255" w:rsidRPr="00A532ED">
        <w:rPr>
          <w:rFonts w:eastAsia="Times New Roman" w:cs="Times New Roman"/>
          <w:bCs/>
          <w:kern w:val="0"/>
          <w:lang w:eastAsia="ar-SA" w:bidi="ar-SA"/>
        </w:rPr>
        <w:t>seguintes produtos usados de telefonia celular móvel: aparelhos, baterias, carregadores, cabos USB, fones de ouvido e cartões SIM (chip) e de pilhas comuns e alcalinas usadas, todos considerados como lixo tóxico e sem valor comercial, quando promovidas por intermédio da SPVS - Sociedade de Pesquisa de</w:t>
      </w:r>
      <w:r w:rsidR="0052356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B34255" w:rsidRPr="00A532ED">
        <w:rPr>
          <w:rFonts w:eastAsia="Times New Roman" w:cs="Times New Roman"/>
          <w:bCs/>
          <w:kern w:val="0"/>
          <w:lang w:eastAsia="ar-SA" w:bidi="ar-SA"/>
        </w:rPr>
        <w:t xml:space="preserve">Vida Selvagem e Educação Ambiental, com base em seu “Programa de Recolhimento de Produtos de Telefonia Móvel”, sediada no município de Curitiba, na Rua </w:t>
      </w:r>
      <w:proofErr w:type="spellStart"/>
      <w:r w:rsidR="00B34255" w:rsidRPr="00A532ED">
        <w:rPr>
          <w:rFonts w:eastAsia="Times New Roman" w:cs="Times New Roman"/>
          <w:bCs/>
          <w:kern w:val="0"/>
          <w:lang w:eastAsia="ar-SA" w:bidi="ar-SA"/>
        </w:rPr>
        <w:t>Victório</w:t>
      </w:r>
      <w:proofErr w:type="spellEnd"/>
      <w:r w:rsidR="00B34255" w:rsidRPr="00A532ED">
        <w:rPr>
          <w:rFonts w:eastAsia="Times New Roman" w:cs="Times New Roman"/>
          <w:bCs/>
          <w:kern w:val="0"/>
          <w:lang w:eastAsia="ar-SA" w:bidi="ar-SA"/>
        </w:rPr>
        <w:t xml:space="preserve"> </w:t>
      </w:r>
      <w:proofErr w:type="spellStart"/>
      <w:r w:rsidR="00B34255" w:rsidRPr="00A532ED">
        <w:rPr>
          <w:rFonts w:eastAsia="Times New Roman" w:cs="Times New Roman"/>
          <w:bCs/>
          <w:kern w:val="0"/>
          <w:lang w:eastAsia="ar-SA" w:bidi="ar-SA"/>
        </w:rPr>
        <w:t>Viezzer</w:t>
      </w:r>
      <w:proofErr w:type="spellEnd"/>
      <w:r w:rsidR="00B34255" w:rsidRPr="00A532ED">
        <w:rPr>
          <w:rFonts w:eastAsia="Times New Roman" w:cs="Times New Roman"/>
          <w:bCs/>
          <w:kern w:val="0"/>
          <w:lang w:eastAsia="ar-SA" w:bidi="ar-SA"/>
        </w:rPr>
        <w:t>, nº 651, Bairro Vista Alegre, inscrita no CNPJ sob o nº 78.696.242/0001-59, mediante a utilização de envelope encomenda-resposta, que atenda os padrões da EBCT - Empresa Brasileira de Correios e Telégrafos - e da ABNT NBR 7504, fornecido pela SPVS, co</w:t>
      </w:r>
      <w:r w:rsidR="003C039B" w:rsidRPr="00A532ED">
        <w:rPr>
          <w:rFonts w:eastAsia="Times New Roman" w:cs="Times New Roman"/>
          <w:bCs/>
          <w:kern w:val="0"/>
          <w:lang w:eastAsia="ar-SA" w:bidi="ar-SA"/>
        </w:rPr>
        <w:t>m porte pago.</w:t>
      </w:r>
    </w:p>
    <w:p w:rsidR="00B12C60" w:rsidRPr="00A532ED" w:rsidRDefault="00B12C60" w:rsidP="00181EA7">
      <w:pPr>
        <w:jc w:val="both"/>
        <w:rPr>
          <w:rFonts w:eastAsia="Times New Roman" w:cs="Times New Roman"/>
          <w:b/>
          <w:bCs/>
          <w:kern w:val="0"/>
          <w:lang w:eastAsia="ar-SA" w:bidi="ar-SA"/>
        </w:rPr>
      </w:pPr>
    </w:p>
    <w:p w:rsidR="00B12C60" w:rsidRPr="00A532ED" w:rsidRDefault="00F11929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lang w:eastAsia="ar-SA" w:bidi="ar-SA"/>
        </w:rPr>
      </w:pPr>
      <w:r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     .......</w:t>
      </w:r>
      <w:r w:rsidR="005C7F3E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</w:t>
      </w:r>
      <w:r>
        <w:rPr>
          <w:rFonts w:eastAsia="Times New Roman" w:cs="Times New Roman"/>
          <w:b w:val="0"/>
          <w:bCs w:val="0"/>
          <w:kern w:val="0"/>
          <w:lang w:eastAsia="ar-SA" w:bidi="ar-SA"/>
        </w:rPr>
        <w:t>................</w:t>
      </w:r>
      <w:r w:rsidR="00A43EAE">
        <w:rPr>
          <w:rFonts w:eastAsia="Times New Roman" w:cs="Times New Roman"/>
          <w:b w:val="0"/>
          <w:bCs w:val="0"/>
          <w:kern w:val="0"/>
          <w:lang w:eastAsia="ar-SA" w:bidi="ar-SA"/>
        </w:rPr>
        <w:t>........</w:t>
      </w:r>
    </w:p>
    <w:p w:rsidR="005C7F3E" w:rsidRPr="00A532ED" w:rsidRDefault="005C7F3E" w:rsidP="00181EA7">
      <w:pPr>
        <w:jc w:val="both"/>
        <w:rPr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§ 3º. Na relação de que trata o § 2º, a beneficiária informará também os contribuintes participantes do referido programa, atuantes na condição de coletores dos produtos de que trata este artigo.”(NR);</w:t>
      </w:r>
    </w:p>
    <w:p w:rsidR="00B12C60" w:rsidRPr="00A532ED" w:rsidRDefault="00B12C60" w:rsidP="00181EA7">
      <w:pPr>
        <w:jc w:val="both"/>
        <w:rPr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>XVIII - o § 3º do artigo 227-A: (Ajuste SINIEF 17/13, efeitos a partir de 01.12.13)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“Art. 227-A. ...........................................................................................................................................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B12C60" w:rsidRPr="00A532ED" w:rsidRDefault="005C7F3E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.................................................................................................................................................................</w:t>
      </w:r>
    </w:p>
    <w:p w:rsidR="00C96EC2" w:rsidRPr="00A532ED" w:rsidRDefault="00C96EC2" w:rsidP="00181EA7">
      <w:pPr>
        <w:jc w:val="both"/>
        <w:rPr>
          <w:lang w:eastAsia="ar-SA" w:bidi="ar-SA"/>
        </w:rPr>
      </w:pPr>
    </w:p>
    <w:p w:rsidR="00B12C60" w:rsidRPr="00A532ED" w:rsidRDefault="00C96EC2" w:rsidP="0062273E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kern w:val="0"/>
          <w:lang w:eastAsia="ar-SA" w:bidi="ar-SA"/>
        </w:rPr>
        <w:t>§3º A obrigatoriedade da utilização do CT-e é fixada nesta Seção, nos termos do disposto no artigo</w:t>
      </w:r>
      <w:r w:rsidR="0062273E" w:rsidRPr="00A532ED">
        <w:rPr>
          <w:rFonts w:eastAsia="Times New Roman" w:cs="Times New Roman"/>
          <w:kern w:val="0"/>
          <w:lang w:eastAsia="ar-SA" w:bidi="ar-SA"/>
        </w:rPr>
        <w:t xml:space="preserve"> </w:t>
      </w:r>
      <w:r w:rsidR="00B12C60"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227-A</w:t>
      </w:r>
      <w:r w:rsidR="0011413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A</w:t>
      </w:r>
      <w:r w:rsidR="00B12C60"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, podendo ser antecipada para contribuinte que possua inscrição apenas no estado de Rondônia.</w:t>
      </w:r>
    </w:p>
    <w:p w:rsidR="003318BF" w:rsidRPr="00A532ED" w:rsidRDefault="003318BF" w:rsidP="0062273E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B12C60" w:rsidRPr="00A532ED" w:rsidRDefault="005C7F3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        ....................................................................................................................................</w:t>
      </w:r>
      <w:r w:rsidR="0062273E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.............</w:t>
      </w:r>
      <w:r w:rsidR="00B12C60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 (NR);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B12C60" w:rsidRPr="00A532ED" w:rsidRDefault="00CF74FE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XIX</w:t>
      </w:r>
      <w:r w:rsidR="00B12C60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="00B12C60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o inciso I do § 1º do artigo 406-Q (Ajuste SINIEF 18/13, efeitos a partir de 01.12.13)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“Art. 406-Q.............................................................................................................................................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B12C60" w:rsidRPr="00A532ED" w:rsidRDefault="005C7F3E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</w:t>
      </w:r>
    </w:p>
    <w:p w:rsidR="005C7F3E" w:rsidRPr="00A532ED" w:rsidRDefault="005C7F3E" w:rsidP="00181EA7">
      <w:pPr>
        <w:jc w:val="both"/>
        <w:rPr>
          <w:sz w:val="23"/>
          <w:szCs w:val="23"/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§1º ..........................................................................................................................................................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I - os incisos I, II, III, IV, V, IX, X e XI, do art. 63;</w:t>
      </w:r>
    </w:p>
    <w:p w:rsidR="00B12C60" w:rsidRPr="00A532ED" w:rsidRDefault="00B12C6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B12C60" w:rsidRPr="00A532ED" w:rsidRDefault="005C7F3E" w:rsidP="00181EA7">
      <w:pPr>
        <w:pStyle w:val="Ttulo3"/>
        <w:widowControl/>
        <w:tabs>
          <w:tab w:val="clear" w:pos="720"/>
          <w:tab w:val="num" w:pos="0"/>
        </w:tabs>
        <w:ind w:firstLine="0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      ...........................................................................................................................................</w:t>
      </w:r>
      <w:r w:rsidR="0062273E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</w:t>
      </w:r>
      <w:r w:rsidR="00B12C60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 (NR);</w:t>
      </w:r>
    </w:p>
    <w:p w:rsidR="00B12C60" w:rsidRPr="00A532ED" w:rsidRDefault="00B12C60" w:rsidP="00181EA7">
      <w:pPr>
        <w:jc w:val="both"/>
        <w:rPr>
          <w:sz w:val="23"/>
          <w:szCs w:val="23"/>
          <w:lang w:eastAsia="ar-SA" w:bidi="ar-SA"/>
        </w:rPr>
      </w:pPr>
    </w:p>
    <w:p w:rsidR="007B0BF0" w:rsidRPr="00A532ED" w:rsidRDefault="007B0BF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X</w:t>
      </w:r>
      <w:r w:rsidR="00CF74FE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X</w:t>
      </w: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o § 13 do artigo 196-L: (Ajuste SINIEF 20/13, efeitos a partir de 18.10.13) </w:t>
      </w:r>
    </w:p>
    <w:p w:rsidR="007B0BF0" w:rsidRPr="00A532ED" w:rsidRDefault="007B0BF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7B0BF0" w:rsidRPr="00A532ED" w:rsidRDefault="007B0BF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“Art. 196-L..............................................................................................................................................</w:t>
      </w:r>
      <w:r w:rsidR="00A43EAE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</w:t>
      </w:r>
    </w:p>
    <w:p w:rsidR="005C7F3E" w:rsidRPr="00A532ED" w:rsidRDefault="005C7F3E" w:rsidP="00181EA7">
      <w:pPr>
        <w:jc w:val="both"/>
        <w:rPr>
          <w:sz w:val="23"/>
          <w:szCs w:val="23"/>
          <w:lang w:eastAsia="ar-SA" w:bidi="ar-SA"/>
        </w:rPr>
      </w:pPr>
    </w:p>
    <w:p w:rsidR="005C7F3E" w:rsidRPr="00A532ED" w:rsidRDefault="005C7F3E" w:rsidP="00181EA7">
      <w:pPr>
        <w:jc w:val="both"/>
        <w:rPr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         ...............................................................................................................................................................</w:t>
      </w:r>
      <w:r w:rsidR="00A43EA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</w:t>
      </w:r>
    </w:p>
    <w:p w:rsidR="007B0BF0" w:rsidRPr="00A532ED" w:rsidRDefault="007B0BF0" w:rsidP="00181EA7">
      <w:pPr>
        <w:jc w:val="both"/>
        <w:rPr>
          <w:sz w:val="23"/>
          <w:szCs w:val="23"/>
          <w:lang w:eastAsia="ar-SA" w:bidi="ar-SA"/>
        </w:rPr>
      </w:pPr>
    </w:p>
    <w:p w:rsidR="007B0BF0" w:rsidRPr="00A532ED" w:rsidRDefault="007B0BF0" w:rsidP="0011413C">
      <w:pPr>
        <w:ind w:firstLine="709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§ 13. Para os Estados do Acre, Amazonas, Mato Grosso, Rio Grande do Sul, Rondônia e Roraima,</w:t>
      </w:r>
      <w:r w:rsidR="0011413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na hipótese do § 5º-A do artigo 196-I, havendo problemas técnicos de que trata o caput, o contribuinte p</w:t>
      </w:r>
      <w:r w:rsidR="00B34255"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oderá emitir, em no mínimo duas vias, o DANFE Simplificado em contingência, com a expressão “DANFE Simplificado em Contingência”, dispensada a utilização de formulário de segurança, devendo ser observadas as destinações de cada via conforme o disposto nos incisos I e II do § 5º.</w:t>
      </w:r>
      <w:r w:rsidR="00485953"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”(NR);</w:t>
      </w:r>
    </w:p>
    <w:p w:rsidR="003318BF" w:rsidRPr="00A532ED" w:rsidRDefault="003318BF" w:rsidP="00181EA7">
      <w:pPr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3318BF" w:rsidRPr="00A532ED" w:rsidRDefault="003318BF" w:rsidP="003318BF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XXI </w:t>
      </w:r>
      <w:r w:rsidR="001828FD" w:rsidRPr="00A532ED">
        <w:rPr>
          <w:rFonts w:eastAsia="Times New Roman" w:cs="Times New Roman"/>
          <w:b w:val="0"/>
          <w:bCs w:val="0"/>
          <w:kern w:val="0"/>
          <w:lang w:eastAsia="ar-SA" w:bidi="ar-SA"/>
        </w:rPr>
        <w:t>-</w:t>
      </w: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o </w:t>
      </w:r>
      <w:r w:rsidRPr="0011413C">
        <w:rPr>
          <w:rFonts w:eastAsia="Times New Roman" w:cs="Times New Roman"/>
          <w:b w:val="0"/>
          <w:bCs w:val="0"/>
          <w:i/>
          <w:kern w:val="0"/>
          <w:sz w:val="23"/>
          <w:szCs w:val="23"/>
          <w:lang w:eastAsia="ar-SA" w:bidi="ar-SA"/>
        </w:rPr>
        <w:t>caput</w:t>
      </w: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do artigo 370-S: (Ajuste SINIEF 21/13, efeitos a partir de 01.12.13)</w:t>
      </w:r>
    </w:p>
    <w:p w:rsidR="003318BF" w:rsidRPr="00A532ED" w:rsidRDefault="003318BF" w:rsidP="003318BF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3318BF" w:rsidRPr="00A532ED" w:rsidRDefault="003318BF" w:rsidP="003318BF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“Art. 370-S. De 1º de julho de 2012 a 31 de dezembro de 2015, fica concedido às empresas jornalísticas, distribuidores, e consignatários, regime especial para emissão de Nota Fiscal Eletrônica - </w:t>
      </w:r>
      <w:r w:rsidR="007B0BF0" w:rsidRPr="00A532ED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NF-e, modelo 55, nas operações com jornais e produtos agregados com imunidade tributária, nos termos do Ajuste SINIEF 01, de 10 de fevereiro de 2012.</w:t>
      </w:r>
    </w:p>
    <w:p w:rsidR="003318BF" w:rsidRPr="00A532ED" w:rsidRDefault="003318BF" w:rsidP="003318BF">
      <w:pPr>
        <w:ind w:firstLine="540"/>
        <w:jc w:val="both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</w:p>
    <w:p w:rsidR="00C96EC2" w:rsidRPr="00A532ED" w:rsidRDefault="00AD73F4" w:rsidP="006144D1">
      <w:pPr>
        <w:pStyle w:val="Ttulo3"/>
        <w:widowControl/>
        <w:tabs>
          <w:tab w:val="clear" w:pos="720"/>
          <w:tab w:val="num" w:pos="0"/>
        </w:tabs>
        <w:ind w:firstLine="0"/>
        <w:rPr>
          <w:sz w:val="23"/>
          <w:szCs w:val="23"/>
          <w:lang w:eastAsia="ar-SA" w:bidi="ar-SA"/>
        </w:rPr>
      </w:pPr>
      <w:r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ab/>
      </w:r>
      <w:r w:rsidR="005C7F3E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</w:t>
      </w:r>
      <w:r w:rsidR="00CE242B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</w:t>
      </w:r>
      <w:r w:rsidR="007B0BF0" w:rsidRPr="00A532ED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”(NR);</w:t>
      </w:r>
    </w:p>
    <w:p w:rsidR="00DE4F32" w:rsidRPr="00A532ED" w:rsidRDefault="00DE4F32" w:rsidP="00DE4F32">
      <w:pPr>
        <w:rPr>
          <w:lang w:eastAsia="ar-SA" w:bidi="ar-SA"/>
        </w:rPr>
      </w:pPr>
    </w:p>
    <w:p w:rsidR="006144D1" w:rsidRPr="006144D1" w:rsidRDefault="004E6E7F" w:rsidP="006144D1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Art. 3</w:t>
      </w:r>
      <w:r w:rsidR="00DE4F32" w:rsidRPr="006144D1">
        <w:rPr>
          <w:rFonts w:eastAsia="Times New Roman" w:cs="Times New Roman"/>
          <w:bCs/>
          <w:kern w:val="0"/>
          <w:lang w:eastAsia="ar-SA" w:bidi="ar-SA"/>
        </w:rPr>
        <w:t>º. Ficam prorrogados, os benefícios fiscais adiante enumerados</w:t>
      </w:r>
      <w:r w:rsidR="006144D1" w:rsidRPr="006144D1">
        <w:rPr>
          <w:rFonts w:eastAsia="Times New Roman" w:cs="Times New Roman"/>
          <w:bCs/>
          <w:kern w:val="0"/>
          <w:lang w:eastAsia="ar-SA" w:bidi="ar-SA"/>
        </w:rPr>
        <w:t xml:space="preserve">, do Regulamento do Imposto sobre Operações Relativas à Circulação de Mercadorias e sobre Prestações de Serviços de Transporte </w:t>
      </w:r>
      <w:r w:rsidR="006144D1" w:rsidRPr="006144D1">
        <w:rPr>
          <w:rFonts w:eastAsia="Times New Roman" w:cs="Times New Roman"/>
          <w:bCs/>
          <w:kern w:val="0"/>
          <w:lang w:eastAsia="ar-SA" w:bidi="ar-SA"/>
        </w:rPr>
        <w:lastRenderedPageBreak/>
        <w:t xml:space="preserve">Interestadual e Intermunicipal e de Comunicação – RICMS/RO, aprovado pelo Decreto n. 8321, de 30 de </w:t>
      </w:r>
    </w:p>
    <w:p w:rsidR="00DE4F32" w:rsidRPr="00A532ED" w:rsidRDefault="006144D1" w:rsidP="006144D1">
      <w:pPr>
        <w:jc w:val="both"/>
        <w:rPr>
          <w:lang w:eastAsia="ar-SA" w:bidi="ar-SA"/>
        </w:rPr>
      </w:pPr>
      <w:r w:rsidRPr="006144D1">
        <w:rPr>
          <w:rFonts w:eastAsia="Times New Roman" w:cs="Times New Roman"/>
          <w:bCs/>
          <w:kern w:val="0"/>
          <w:lang w:eastAsia="ar-SA" w:bidi="ar-SA"/>
        </w:rPr>
        <w:t>abril de 1998:</w:t>
      </w:r>
      <w:r w:rsidRPr="006144D1">
        <w:rPr>
          <w:rFonts w:eastAsia="Times New Roman" w:cs="Times New Roman"/>
          <w:bCs/>
          <w:kern w:val="0"/>
          <w:lang w:eastAsia="ar-SA" w:bidi="ar-SA"/>
        </w:rPr>
        <w:cr/>
      </w:r>
    </w:p>
    <w:p w:rsidR="007B0BF0" w:rsidRPr="009C1AFD" w:rsidRDefault="00DE4F32" w:rsidP="009C1AFD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9C1AFD">
        <w:rPr>
          <w:rFonts w:eastAsia="Times New Roman" w:cs="Times New Roman"/>
          <w:bCs/>
          <w:kern w:val="0"/>
          <w:lang w:eastAsia="ar-SA" w:bidi="ar-SA"/>
        </w:rPr>
        <w:t xml:space="preserve">I </w:t>
      </w:r>
      <w:r w:rsidR="002B158F">
        <w:rPr>
          <w:rFonts w:eastAsia="Times New Roman" w:cs="Times New Roman"/>
          <w:bCs/>
          <w:kern w:val="0"/>
          <w:lang w:eastAsia="ar-SA" w:bidi="ar-SA"/>
        </w:rPr>
        <w:t xml:space="preserve">- </w:t>
      </w:r>
      <w:r w:rsidRPr="009C1AFD">
        <w:rPr>
          <w:rFonts w:eastAsia="Times New Roman" w:cs="Times New Roman"/>
          <w:bCs/>
          <w:kern w:val="0"/>
          <w:lang w:eastAsia="ar-SA" w:bidi="ar-SA"/>
        </w:rPr>
        <w:t xml:space="preserve">até 31 de julho de 2014, o benefício fiscal previsto no </w:t>
      </w:r>
      <w:r w:rsidR="009C1AFD">
        <w:rPr>
          <w:rFonts w:eastAsia="Times New Roman" w:cs="Times New Roman"/>
          <w:bCs/>
          <w:kern w:val="0"/>
          <w:lang w:eastAsia="ar-SA" w:bidi="ar-SA"/>
        </w:rPr>
        <w:t xml:space="preserve">item 8 da Tabela II do Anexo IV, que concede </w:t>
      </w:r>
      <w:r w:rsidR="009C1AFD" w:rsidRPr="009C1AFD">
        <w:rPr>
          <w:rFonts w:eastAsia="Times New Roman" w:cs="Times New Roman"/>
          <w:kern w:val="0"/>
          <w:lang w:eastAsia="pt-BR" w:bidi="ar-SA"/>
        </w:rPr>
        <w:t>crédito presumido do ICMS de até R$ 2.000,00 (dois mil</w:t>
      </w:r>
      <w:r w:rsidR="009C1AFD">
        <w:rPr>
          <w:rFonts w:eastAsia="Times New Roman" w:cs="Times New Roman"/>
          <w:kern w:val="0"/>
          <w:lang w:eastAsia="pt-BR" w:bidi="ar-SA"/>
        </w:rPr>
        <w:t xml:space="preserve"> </w:t>
      </w:r>
      <w:r w:rsidR="009C1AFD" w:rsidRPr="009C1AFD">
        <w:rPr>
          <w:rFonts w:eastAsia="Times New Roman" w:cs="Times New Roman"/>
          <w:kern w:val="0"/>
          <w:lang w:eastAsia="pt-BR" w:bidi="ar-SA"/>
        </w:rPr>
        <w:t>reais), por equipamento, limitado a doze equipamentos por contribuinte, na aquisição de</w:t>
      </w:r>
      <w:r w:rsidR="009C1AFD">
        <w:rPr>
          <w:rFonts w:eastAsia="Times New Roman" w:cs="Times New Roman"/>
          <w:kern w:val="0"/>
          <w:lang w:eastAsia="pt-BR" w:bidi="ar-SA"/>
        </w:rPr>
        <w:t xml:space="preserve"> </w:t>
      </w:r>
      <w:r w:rsidR="009C1AFD" w:rsidRPr="009C1AFD">
        <w:rPr>
          <w:rFonts w:eastAsia="Times New Roman" w:cs="Times New Roman"/>
          <w:kern w:val="0"/>
          <w:lang w:eastAsia="pt-BR" w:bidi="ar-SA"/>
        </w:rPr>
        <w:t>equipamento Emissor de Cupom Fiscal – ECF, com requisitos de MFD para fins de</w:t>
      </w:r>
      <w:r w:rsidR="009C1AFD">
        <w:rPr>
          <w:rFonts w:eastAsia="Times New Roman" w:cs="Times New Roman"/>
          <w:kern w:val="0"/>
          <w:lang w:eastAsia="pt-BR" w:bidi="ar-SA"/>
        </w:rPr>
        <w:t xml:space="preserve"> </w:t>
      </w:r>
      <w:r w:rsidR="009C1AFD" w:rsidRPr="009C1AFD">
        <w:rPr>
          <w:rFonts w:eastAsia="Times New Roman" w:cs="Times New Roman"/>
          <w:kern w:val="0"/>
          <w:lang w:eastAsia="pt-BR" w:bidi="ar-SA"/>
        </w:rPr>
        <w:t>substitui</w:t>
      </w:r>
      <w:r w:rsidR="009C1AFD">
        <w:rPr>
          <w:rFonts w:eastAsia="Times New Roman" w:cs="Times New Roman"/>
          <w:kern w:val="0"/>
          <w:lang w:eastAsia="pt-BR" w:bidi="ar-SA"/>
        </w:rPr>
        <w:t xml:space="preserve">ção de ECF sem requisito de MFD; </w:t>
      </w:r>
      <w:r w:rsidR="009C1AFD" w:rsidRPr="009C1AFD">
        <w:rPr>
          <w:rFonts w:eastAsia="Times New Roman" w:cs="Times New Roman"/>
          <w:bCs/>
          <w:kern w:val="0"/>
          <w:lang w:eastAsia="ar-SA" w:bidi="ar-SA"/>
        </w:rPr>
        <w:t>(Convênio</w:t>
      </w:r>
      <w:r w:rsidR="009C1AF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9C1AFD" w:rsidRPr="009C1AFD">
        <w:rPr>
          <w:rFonts w:eastAsia="Times New Roman" w:cs="Times New Roman"/>
          <w:bCs/>
          <w:kern w:val="0"/>
          <w:lang w:eastAsia="ar-SA" w:bidi="ar-SA"/>
        </w:rPr>
        <w:t>ICMS 116/13, efeitos a partir de 07.11.13</w:t>
      </w:r>
      <w:r w:rsidR="009C1AFD">
        <w:rPr>
          <w:rFonts w:eastAsia="Times New Roman" w:cs="Times New Roman"/>
          <w:bCs/>
          <w:kern w:val="0"/>
          <w:lang w:eastAsia="ar-SA" w:bidi="ar-SA"/>
        </w:rPr>
        <w:t>)</w:t>
      </w:r>
    </w:p>
    <w:p w:rsidR="007B0BF0" w:rsidRPr="00A532ED" w:rsidRDefault="007B0BF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7B0BF0" w:rsidRPr="007003CE" w:rsidRDefault="003F1D97" w:rsidP="003F1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         </w:t>
      </w:r>
      <w:r w:rsidR="007B0BF0" w:rsidRPr="007003CE">
        <w:rPr>
          <w:rFonts w:eastAsia="Times New Roman" w:cs="Times New Roman"/>
          <w:bCs/>
          <w:kern w:val="0"/>
          <w:lang w:eastAsia="ar-SA" w:bidi="ar-SA"/>
        </w:rPr>
        <w:t>II</w:t>
      </w:r>
      <w:r w:rsidR="007B0BF0" w:rsidRPr="007003CE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2B158F">
        <w:rPr>
          <w:rFonts w:eastAsia="Times New Roman" w:cs="Times New Roman"/>
          <w:bCs/>
          <w:kern w:val="0"/>
          <w:lang w:eastAsia="ar-SA" w:bidi="ar-SA"/>
        </w:rPr>
        <w:t xml:space="preserve">- </w:t>
      </w:r>
      <w:r w:rsidR="007B0BF0" w:rsidRPr="007003CE">
        <w:rPr>
          <w:rFonts w:eastAsia="Times New Roman" w:cs="Times New Roman"/>
          <w:bCs/>
          <w:kern w:val="0"/>
          <w:lang w:eastAsia="ar-SA" w:bidi="ar-SA"/>
        </w:rPr>
        <w:t>até 31 de dezembro de 2014, o benefício fiscal previsto no item 67 da Tabela II do Anexo I</w:t>
      </w:r>
      <w:r w:rsidR="007003CE" w:rsidRPr="007003CE">
        <w:rPr>
          <w:rFonts w:eastAsia="Times New Roman" w:cs="Times New Roman"/>
          <w:bCs/>
          <w:kern w:val="0"/>
          <w:lang w:eastAsia="ar-SA" w:bidi="ar-SA"/>
        </w:rPr>
        <w:t xml:space="preserve">, que concede isenção </w:t>
      </w:r>
      <w:r w:rsidR="007003CE" w:rsidRPr="007003CE">
        <w:rPr>
          <w:rFonts w:eastAsia="Times New Roman" w:cs="Times New Roman"/>
          <w:kern w:val="0"/>
          <w:lang w:eastAsia="pt-BR" w:bidi="ar-SA"/>
        </w:rPr>
        <w:t>nas saídas internas e interestaduais de veículo</w:t>
      </w:r>
      <w:r w:rsidR="007003CE">
        <w:rPr>
          <w:rFonts w:eastAsia="Times New Roman" w:cs="Times New Roman"/>
          <w:kern w:val="0"/>
          <w:lang w:eastAsia="pt-BR" w:bidi="ar-SA"/>
        </w:rPr>
        <w:t xml:space="preserve"> </w:t>
      </w:r>
      <w:r w:rsidR="007003CE" w:rsidRPr="007003CE">
        <w:rPr>
          <w:rFonts w:eastAsia="Times New Roman" w:cs="Times New Roman"/>
          <w:kern w:val="0"/>
          <w:lang w:eastAsia="pt-BR" w:bidi="ar-SA"/>
        </w:rPr>
        <w:t>automotor novo quando adquirido por pessoas portadoras de deficiência física, visual, mental severa ou</w:t>
      </w:r>
      <w:r w:rsidR="007003CE">
        <w:rPr>
          <w:rFonts w:eastAsia="Times New Roman" w:cs="Times New Roman"/>
          <w:kern w:val="0"/>
          <w:lang w:eastAsia="pt-BR" w:bidi="ar-SA"/>
        </w:rPr>
        <w:t xml:space="preserve"> </w:t>
      </w:r>
      <w:r w:rsidR="007003CE" w:rsidRPr="007003CE">
        <w:rPr>
          <w:rFonts w:eastAsia="Times New Roman" w:cs="Times New Roman"/>
          <w:kern w:val="0"/>
          <w:lang w:eastAsia="pt-BR" w:bidi="ar-SA"/>
        </w:rPr>
        <w:t>profunda, ou autistas, diretamente ou por intermédio de seu representante legal</w:t>
      </w:r>
      <w:r w:rsidR="007B0BF0" w:rsidRPr="007003CE">
        <w:rPr>
          <w:rFonts w:eastAsia="Times New Roman" w:cs="Times New Roman"/>
          <w:bCs/>
          <w:kern w:val="0"/>
          <w:lang w:eastAsia="ar-SA" w:bidi="ar-SA"/>
        </w:rPr>
        <w:t>;</w:t>
      </w:r>
      <w:r w:rsidR="007B0BF0" w:rsidRPr="007003CE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B0BF0" w:rsidRPr="007003CE">
        <w:rPr>
          <w:rFonts w:eastAsia="Times New Roman" w:cs="Times New Roman"/>
          <w:bCs/>
          <w:kern w:val="0"/>
          <w:lang w:eastAsia="ar-SA" w:bidi="ar-SA"/>
        </w:rPr>
        <w:t xml:space="preserve">(Convênio ICMS 116/13, efeitos a partir de 07.11.13) </w:t>
      </w:r>
    </w:p>
    <w:p w:rsidR="007B0BF0" w:rsidRPr="00A532ED" w:rsidRDefault="007B0BF0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7B0BF0" w:rsidRPr="001101EF" w:rsidRDefault="003F1D97" w:rsidP="003F1D9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        </w:t>
      </w:r>
      <w:r w:rsidR="007B0BF0" w:rsidRPr="001101EF">
        <w:rPr>
          <w:rFonts w:eastAsia="Times New Roman" w:cs="Times New Roman"/>
          <w:bCs/>
          <w:kern w:val="0"/>
          <w:lang w:eastAsia="ar-SA" w:bidi="ar-SA"/>
        </w:rPr>
        <w:t xml:space="preserve">III </w:t>
      </w:r>
      <w:r w:rsidR="002B158F">
        <w:rPr>
          <w:rFonts w:eastAsia="Times New Roman" w:cs="Times New Roman"/>
          <w:bCs/>
          <w:kern w:val="0"/>
          <w:lang w:eastAsia="ar-SA" w:bidi="ar-SA"/>
        </w:rPr>
        <w:t xml:space="preserve">- </w:t>
      </w:r>
      <w:r w:rsidR="007B0BF0" w:rsidRPr="001101EF">
        <w:rPr>
          <w:rFonts w:eastAsia="Times New Roman" w:cs="Times New Roman"/>
          <w:bCs/>
          <w:kern w:val="0"/>
          <w:lang w:eastAsia="ar-SA" w:bidi="ar-SA"/>
        </w:rPr>
        <w:t>até 31 de dezembro de 2014, o benefício fiscal previsto no item 9 da Tabela II do Anexo IV</w:t>
      </w:r>
      <w:r w:rsidR="001101EF" w:rsidRPr="001101EF">
        <w:rPr>
          <w:rFonts w:eastAsia="Times New Roman" w:cs="Times New Roman"/>
          <w:bCs/>
          <w:kern w:val="0"/>
          <w:lang w:eastAsia="ar-SA" w:bidi="ar-SA"/>
        </w:rPr>
        <w:t>, que concede crédito presumido do ICMS</w:t>
      </w:r>
      <w:r w:rsidR="001101EF" w:rsidRPr="001101E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1101EF" w:rsidRPr="001101EF">
        <w:rPr>
          <w:rFonts w:eastAsia="Times New Roman" w:cs="Times New Roman"/>
          <w:kern w:val="0"/>
          <w:lang w:eastAsia="pt-BR" w:bidi="ar-SA"/>
        </w:rPr>
        <w:t>às empresas que utilizem mão-de-obra carcerária e de</w:t>
      </w:r>
      <w:r w:rsidR="001101EF">
        <w:rPr>
          <w:rFonts w:eastAsia="Times New Roman" w:cs="Times New Roman"/>
          <w:kern w:val="0"/>
          <w:lang w:eastAsia="pt-BR" w:bidi="ar-SA"/>
        </w:rPr>
        <w:t xml:space="preserve"> </w:t>
      </w:r>
      <w:r w:rsidR="001101EF" w:rsidRPr="001101EF">
        <w:rPr>
          <w:rFonts w:eastAsia="Times New Roman" w:cs="Times New Roman"/>
          <w:kern w:val="0"/>
          <w:lang w:eastAsia="pt-BR" w:bidi="ar-SA"/>
        </w:rPr>
        <w:t>egressos do sistema prisional, não podendo exceder, em cada ano, a 5% da parte</w:t>
      </w:r>
      <w:r w:rsidR="001101EF">
        <w:rPr>
          <w:rFonts w:eastAsia="Times New Roman" w:cs="Times New Roman"/>
          <w:kern w:val="0"/>
          <w:lang w:eastAsia="pt-BR" w:bidi="ar-SA"/>
        </w:rPr>
        <w:t xml:space="preserve"> </w:t>
      </w:r>
      <w:r w:rsidR="001101EF" w:rsidRPr="001101EF">
        <w:rPr>
          <w:rFonts w:eastAsia="Times New Roman" w:cs="Times New Roman"/>
          <w:kern w:val="0"/>
          <w:lang w:eastAsia="pt-BR" w:bidi="ar-SA"/>
        </w:rPr>
        <w:t>estadual da arrecadação anual do ICMS relativa ao exercício imediatamente anterior</w:t>
      </w:r>
      <w:r w:rsidR="001101EF">
        <w:rPr>
          <w:rFonts w:eastAsia="Times New Roman" w:cs="Times New Roman"/>
          <w:kern w:val="0"/>
          <w:lang w:eastAsia="pt-BR" w:bidi="ar-SA"/>
        </w:rPr>
        <w:t>;</w:t>
      </w:r>
      <w:r w:rsidR="001101EF" w:rsidRPr="001101E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B0BF0" w:rsidRPr="001101EF">
        <w:rPr>
          <w:rFonts w:eastAsia="Times New Roman" w:cs="Times New Roman"/>
          <w:bCs/>
          <w:kern w:val="0"/>
          <w:lang w:eastAsia="ar-SA" w:bidi="ar-SA"/>
        </w:rPr>
        <w:t xml:space="preserve">(Convênio ICMS 116/13, efeitos a partir de 07.11.13) </w:t>
      </w:r>
    </w:p>
    <w:p w:rsidR="007B0BF0" w:rsidRPr="00A532ED" w:rsidRDefault="007B0BF0" w:rsidP="00181EA7">
      <w:pPr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4E6E7F" w:rsidRPr="002B158F" w:rsidRDefault="00BB788B" w:rsidP="004E6E7F">
      <w:pPr>
        <w:ind w:firstLine="540"/>
        <w:jc w:val="both"/>
      </w:pPr>
      <w:r w:rsidRPr="002B158F">
        <w:rPr>
          <w:rFonts w:eastAsia="Times New Roman" w:cs="Times New Roman"/>
          <w:bCs/>
          <w:kern w:val="0"/>
          <w:lang w:eastAsia="ar-SA" w:bidi="ar-SA"/>
        </w:rPr>
        <w:t xml:space="preserve">Art. </w:t>
      </w:r>
      <w:r w:rsidR="004E6E7F">
        <w:rPr>
          <w:rFonts w:eastAsia="Times New Roman" w:cs="Times New Roman"/>
          <w:bCs/>
          <w:kern w:val="0"/>
          <w:lang w:eastAsia="ar-SA" w:bidi="ar-SA"/>
        </w:rPr>
        <w:t>4</w:t>
      </w:r>
      <w:r w:rsidR="00D64AF3" w:rsidRPr="002B158F">
        <w:rPr>
          <w:rFonts w:eastAsia="Times New Roman" w:cs="Times New Roman"/>
          <w:bCs/>
          <w:kern w:val="0"/>
          <w:lang w:eastAsia="ar-SA" w:bidi="ar-SA"/>
        </w:rPr>
        <w:t xml:space="preserve">º. </w:t>
      </w:r>
      <w:r w:rsidR="004E6E7F" w:rsidRPr="004E6E7F">
        <w:rPr>
          <w:rFonts w:eastAsia="Times New Roman" w:cs="Times New Roman"/>
          <w:bCs/>
          <w:kern w:val="0"/>
          <w:lang w:eastAsia="ar-SA" w:bidi="ar-SA"/>
        </w:rPr>
        <w:t xml:space="preserve">Ficam convalidados os </w:t>
      </w:r>
      <w:r w:rsidR="004E6E7F">
        <w:rPr>
          <w:rFonts w:eastAsia="Times New Roman" w:cs="Times New Roman"/>
          <w:bCs/>
          <w:kern w:val="0"/>
          <w:lang w:eastAsia="ar-SA" w:bidi="ar-SA"/>
        </w:rPr>
        <w:t>procedimentos:</w:t>
      </w:r>
    </w:p>
    <w:p w:rsidR="002B158F" w:rsidRPr="002B158F" w:rsidRDefault="002B158F" w:rsidP="004E6E7F">
      <w:pPr>
        <w:jc w:val="both"/>
      </w:pPr>
    </w:p>
    <w:p w:rsidR="00D64AF3" w:rsidRDefault="002B158F" w:rsidP="002B158F">
      <w:pPr>
        <w:pStyle w:val="Recuodecorpodetexto"/>
        <w:tabs>
          <w:tab w:val="left" w:pos="6120"/>
        </w:tabs>
        <w:ind w:firstLine="540"/>
        <w:rPr>
          <w:rFonts w:eastAsia="Times New Roman" w:cs="Times New Roman"/>
          <w:bCs/>
          <w:kern w:val="0"/>
          <w:sz w:val="24"/>
          <w:szCs w:val="24"/>
          <w:lang w:eastAsia="ar-SA" w:bidi="ar-SA"/>
        </w:rPr>
      </w:pPr>
      <w:r w:rsidRPr="002B158F">
        <w:rPr>
          <w:sz w:val="24"/>
          <w:szCs w:val="24"/>
        </w:rPr>
        <w:t xml:space="preserve">I </w:t>
      </w:r>
      <w:r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- </w:t>
      </w:r>
      <w:r w:rsidR="00D64AF3" w:rsidRPr="002B158F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>relativos às alterações de dados das empresas de telecomunicação no Anexo XXIII, ocorridos a partir de 12 de abril de 2013 até 30 setembro de 2013, realizados nos termos do disposto no § 6º do a</w:t>
      </w:r>
      <w:r w:rsidR="00B227A7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>rt. 1º do Ato COTEPE/ICMS 13/13;</w:t>
      </w:r>
      <w:r w:rsidR="009759C2" w:rsidRPr="002B158F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 (Ato COTEPE 40/13, efeitos a partir de 01.10.13)</w:t>
      </w:r>
    </w:p>
    <w:p w:rsidR="002B158F" w:rsidRDefault="002B158F" w:rsidP="002B158F">
      <w:pPr>
        <w:pStyle w:val="Recuodecorpodetexto"/>
        <w:tabs>
          <w:tab w:val="left" w:pos="6120"/>
        </w:tabs>
        <w:ind w:firstLine="540"/>
        <w:rPr>
          <w:rFonts w:eastAsia="Times New Roman" w:cs="Times New Roman"/>
          <w:bCs/>
          <w:kern w:val="0"/>
          <w:sz w:val="24"/>
          <w:szCs w:val="24"/>
          <w:lang w:eastAsia="ar-SA" w:bidi="ar-SA"/>
        </w:rPr>
      </w:pPr>
    </w:p>
    <w:p w:rsidR="00C955CC" w:rsidRPr="002B158F" w:rsidRDefault="002B158F" w:rsidP="002B158F">
      <w:pPr>
        <w:pStyle w:val="Recuodecorpodetexto"/>
        <w:tabs>
          <w:tab w:val="left" w:pos="6120"/>
        </w:tabs>
        <w:ind w:firstLine="540"/>
        <w:rPr>
          <w:rFonts w:eastAsia="Times New Roman" w:cs="Times New Roman"/>
          <w:kern w:val="0"/>
          <w:sz w:val="24"/>
          <w:szCs w:val="24"/>
          <w:lang w:eastAsia="ar-SA" w:bidi="ar-SA"/>
        </w:rPr>
      </w:pPr>
      <w:r w:rsidRPr="002B158F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II - </w:t>
      </w:r>
      <w:r w:rsidR="00C955CC" w:rsidRPr="002B158F">
        <w:rPr>
          <w:sz w:val="24"/>
          <w:szCs w:val="24"/>
        </w:rPr>
        <w:t>adotados pelos contribuintes do ICMS em relação aos relatórios referentes às operações realizadas no mês de agosto de 2013 até o início de vigência deste convênio, desde que tenham sido feitos de acordo com o modelo, vigente em 31 de julho de 2013, do Anexo VI do</w:t>
      </w:r>
      <w:r w:rsidR="00C955CC" w:rsidRPr="002B158F">
        <w:rPr>
          <w:rStyle w:val="apple-converted-space"/>
          <w:sz w:val="24"/>
          <w:szCs w:val="24"/>
        </w:rPr>
        <w:t> </w:t>
      </w:r>
      <w:hyperlink r:id="rId9" w:history="1">
        <w:r w:rsidR="00C955CC" w:rsidRPr="002B158F">
          <w:rPr>
            <w:rStyle w:val="Hyperlink"/>
            <w:color w:val="auto"/>
            <w:sz w:val="24"/>
            <w:szCs w:val="24"/>
            <w:u w:val="none"/>
          </w:rPr>
          <w:t>Convênio ICMS 54/02</w:t>
        </w:r>
      </w:hyperlink>
      <w:r w:rsidR="00C955CC" w:rsidRPr="002B158F">
        <w:rPr>
          <w:sz w:val="24"/>
          <w:szCs w:val="24"/>
        </w:rPr>
        <w:t>, de 28 de junho de 2002.</w:t>
      </w:r>
      <w:r>
        <w:rPr>
          <w:sz w:val="24"/>
          <w:szCs w:val="24"/>
        </w:rPr>
        <w:t xml:space="preserve"> </w:t>
      </w:r>
      <w:r w:rsidR="00E64244" w:rsidRPr="002B158F">
        <w:rPr>
          <w:sz w:val="24"/>
          <w:szCs w:val="24"/>
        </w:rPr>
        <w:t>(Convênio ICMS 109/13, efeitos  partir de 06.09.13)</w:t>
      </w:r>
      <w:r w:rsidR="00C955CC" w:rsidRPr="002B158F">
        <w:rPr>
          <w:rFonts w:eastAsia="Times New Roman" w:cs="Times New Roman"/>
          <w:kern w:val="0"/>
          <w:sz w:val="24"/>
          <w:szCs w:val="24"/>
          <w:lang w:eastAsia="ar-SA" w:bidi="ar-SA"/>
        </w:rPr>
        <w:tab/>
      </w:r>
    </w:p>
    <w:p w:rsidR="00C06A8B" w:rsidRPr="00A532ED" w:rsidRDefault="00C06A8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2B158F" w:rsidRPr="004E6E7F" w:rsidRDefault="00BB788B" w:rsidP="002B158F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Art. </w:t>
      </w:r>
      <w:r w:rsidR="004E6E7F">
        <w:rPr>
          <w:rFonts w:eastAsia="Times New Roman" w:cs="Times New Roman"/>
          <w:b w:val="0"/>
          <w:bCs w:val="0"/>
          <w:kern w:val="0"/>
          <w:lang w:eastAsia="ar-SA" w:bidi="ar-SA"/>
        </w:rPr>
        <w:t>5</w:t>
      </w:r>
      <w:r w:rsidR="00C06A8B"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º.  Tendo em vista os novos critérios estabelecidos no protocolo ICMS 82, de 02 de setembro de 2013, </w:t>
      </w:r>
      <w:r w:rsidR="004E6E7F">
        <w:rPr>
          <w:rFonts w:eastAsia="Times New Roman" w:cs="Times New Roman"/>
          <w:b w:val="0"/>
          <w:bCs w:val="0"/>
          <w:kern w:val="0"/>
          <w:lang w:eastAsia="ar-SA" w:bidi="ar-SA"/>
        </w:rPr>
        <w:t>as empresas que realiza</w:t>
      </w:r>
      <w:r w:rsidR="00B227A7">
        <w:rPr>
          <w:rFonts w:eastAsia="Times New Roman" w:cs="Times New Roman"/>
          <w:b w:val="0"/>
          <w:bCs w:val="0"/>
          <w:kern w:val="0"/>
          <w:lang w:eastAsia="ar-SA" w:bidi="ar-SA"/>
        </w:rPr>
        <w:t>ra</w:t>
      </w:r>
      <w:r w:rsid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m </w:t>
      </w:r>
      <w:r w:rsidR="004E6E7F"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o</w:t>
      </w:r>
      <w:r w:rsidR="004E6E7F" w:rsidRPr="004E6E7F">
        <w:rPr>
          <w:rFonts w:cs="Times New Roman"/>
          <w:b w:val="0"/>
          <w:bCs w:val="0"/>
          <w:color w:val="000000"/>
        </w:rPr>
        <w:t xml:space="preserve">perações interestaduais com Gás Liquefeito derivado de Gás Natural </w:t>
      </w:r>
      <w:r w:rsidR="00A9052A">
        <w:rPr>
          <w:rFonts w:cs="Times New Roman"/>
          <w:b w:val="0"/>
          <w:bCs w:val="0"/>
          <w:color w:val="000000"/>
        </w:rPr>
        <w:t>–</w:t>
      </w:r>
      <w:r w:rsidR="004E6E7F" w:rsidRPr="004E6E7F">
        <w:rPr>
          <w:rFonts w:cs="Times New Roman"/>
          <w:b w:val="0"/>
          <w:bCs w:val="0"/>
          <w:color w:val="000000"/>
        </w:rPr>
        <w:t xml:space="preserve"> GLGN</w:t>
      </w:r>
      <w:r w:rsidR="00A9052A">
        <w:rPr>
          <w:rFonts w:cs="Times New Roman"/>
          <w:b w:val="0"/>
          <w:bCs w:val="0"/>
          <w:color w:val="000000"/>
        </w:rPr>
        <w:t xml:space="preserve"> </w:t>
      </w:r>
      <w:r w:rsidR="00251AF4">
        <w:rPr>
          <w:rFonts w:eastAsia="Times New Roman" w:cs="Times New Roman"/>
          <w:b w:val="0"/>
          <w:bCs w:val="0"/>
          <w:kern w:val="0"/>
          <w:lang w:eastAsia="ar-SA" w:bidi="ar-SA"/>
        </w:rPr>
        <w:t>deverão</w:t>
      </w:r>
      <w:r w:rsidR="00C06A8B"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observa</w:t>
      </w:r>
      <w:r w:rsidR="00A9052A">
        <w:rPr>
          <w:rFonts w:eastAsia="Times New Roman" w:cs="Times New Roman"/>
          <w:b w:val="0"/>
          <w:bCs w:val="0"/>
          <w:kern w:val="0"/>
          <w:lang w:eastAsia="ar-SA" w:bidi="ar-SA"/>
        </w:rPr>
        <w:t>r</w:t>
      </w:r>
      <w:r w:rsidR="00C06A8B"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o seguinte:</w:t>
      </w:r>
    </w:p>
    <w:p w:rsidR="002B158F" w:rsidRPr="004E6E7F" w:rsidRDefault="002B158F" w:rsidP="002B158F">
      <w:pPr>
        <w:rPr>
          <w:lang w:eastAsia="ar-SA" w:bidi="ar-SA"/>
        </w:rPr>
      </w:pPr>
    </w:p>
    <w:p w:rsidR="00267660" w:rsidRPr="004E6E7F" w:rsidRDefault="002B158F" w:rsidP="00AB49FD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4E6E7F">
        <w:rPr>
          <w:rFonts w:eastAsia="Times New Roman" w:cs="Times New Roman"/>
          <w:bCs/>
          <w:kern w:val="0"/>
          <w:lang w:eastAsia="ar-SA" w:bidi="ar-SA"/>
        </w:rPr>
        <w:t xml:space="preserve">I - os Anexos referentes aos períodos de apuração compreendidos entre janeiro/2013 e o que se encerra no mês anterior ao da entrada em vigor do Protocolo ICMS 82/2013, entregues no leiaute anterior, deverão ser </w:t>
      </w:r>
      <w:r w:rsidR="00267660" w:rsidRPr="004E6E7F">
        <w:rPr>
          <w:rFonts w:eastAsia="Times New Roman" w:cs="Times New Roman"/>
          <w:bCs/>
          <w:kern w:val="0"/>
          <w:lang w:eastAsia="ar-SA" w:bidi="ar-SA"/>
        </w:rPr>
        <w:t>reapresentados, no mesmo prazo da apresentação dos Anexos do período de apuração estabelecido na cláusula quarta, observando- se os procedimentos estabelecidos no citado</w:t>
      </w:r>
      <w:r w:rsidR="00267660" w:rsidRPr="004E6E7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267660" w:rsidRPr="004E6E7F">
        <w:rPr>
          <w:rFonts w:eastAsia="Times New Roman" w:cs="Times New Roman"/>
          <w:bCs/>
          <w:kern w:val="0"/>
          <w:lang w:eastAsia="ar-SA" w:bidi="ar-SA"/>
        </w:rPr>
        <w:t>protocolo;</w:t>
      </w:r>
    </w:p>
    <w:p w:rsidR="009C48EC" w:rsidRPr="004E6E7F" w:rsidRDefault="00267660" w:rsidP="00181EA7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4E6E7F">
        <w:rPr>
          <w:rFonts w:eastAsia="Times New Roman" w:cs="Times New Roman"/>
          <w:bCs/>
          <w:kern w:val="0"/>
          <w:lang w:eastAsia="ar-SA" w:bidi="ar-SA"/>
        </w:rPr>
        <w:t xml:space="preserve">II - ficam dispensados os recolhimentos dos valores apurados nos anexos de que trata o inciso anterior, cabendo aos Estados envolvidos promover as compensações necessárias decorrentes das </w:t>
      </w:r>
      <w:r w:rsidR="009C48EC" w:rsidRPr="004E6E7F">
        <w:rPr>
          <w:rFonts w:eastAsia="Times New Roman" w:cs="Times New Roman"/>
          <w:bCs/>
          <w:kern w:val="0"/>
          <w:lang w:eastAsia="ar-SA" w:bidi="ar-SA"/>
        </w:rPr>
        <w:t>diferenças entre os valores apurados nos anexos entregues no leiaute anterior e os anexos de que trata o inciso I;</w:t>
      </w:r>
      <w:r w:rsidRPr="004E6E7F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6144D1" w:rsidRPr="004E6E7F" w:rsidRDefault="006144D1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lastRenderedPageBreak/>
        <w:t xml:space="preserve">Art. </w:t>
      </w:r>
      <w:r w:rsidR="004E6E7F">
        <w:rPr>
          <w:rFonts w:eastAsia="Times New Roman" w:cs="Times New Roman"/>
          <w:b w:val="0"/>
          <w:bCs w:val="0"/>
          <w:kern w:val="0"/>
          <w:lang w:eastAsia="ar-SA" w:bidi="ar-SA"/>
        </w:rPr>
        <w:t>6</w:t>
      </w: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º. Fica revogado o item 66 do Anexo XXIII do Regulamento do Imposto sobre Operações Relativas à Circulação de Mercadorias e sobre Prestações de Serviços de Transporte Interestadual e Intermunicipal e de Comunicação – RICMS/RO, aprovado pelo Decreto n. 8321, de 1998: (Ato COTEPE 40/13, efeitos a partir de 01.10.13).</w:t>
      </w:r>
    </w:p>
    <w:p w:rsidR="006144D1" w:rsidRPr="004E6E7F" w:rsidRDefault="006144D1" w:rsidP="00181EA7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</w:p>
    <w:p w:rsidR="009C48EC" w:rsidRPr="004E6E7F" w:rsidRDefault="00BB788B" w:rsidP="00181EA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Art. </w:t>
      </w:r>
      <w:r w:rsidR="004E6E7F">
        <w:rPr>
          <w:rFonts w:eastAsia="Times New Roman" w:cs="Times New Roman"/>
          <w:b w:val="0"/>
          <w:bCs w:val="0"/>
          <w:kern w:val="0"/>
          <w:lang w:eastAsia="ar-SA" w:bidi="ar-SA"/>
        </w:rPr>
        <w:t>7</w:t>
      </w:r>
      <w:r w:rsidR="009C48EC"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º. Este Decreto entra em vigor na data de sua publicação, produzindo efeitos, em relação aos dispositivos por ele disciplinados, a partir da data de entrada em vigor dos Atos, Ajustes, Protocolos ou Convênios ICMS neles indicados.</w:t>
      </w:r>
    </w:p>
    <w:p w:rsidR="007B0BF0" w:rsidRPr="004E6E7F" w:rsidRDefault="007B0BF0" w:rsidP="00181EA7">
      <w:pPr>
        <w:jc w:val="both"/>
        <w:rPr>
          <w:lang w:eastAsia="ar-SA" w:bidi="ar-SA"/>
        </w:rPr>
      </w:pPr>
    </w:p>
    <w:p w:rsidR="006576F0" w:rsidRPr="004E6E7F" w:rsidRDefault="00597C29" w:rsidP="00DE4F32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Palácio do Governo do Estado de Rondônia, em</w:t>
      </w:r>
      <w:r w:rsidR="00687524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15 </w:t>
      </w: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de</w:t>
      </w:r>
      <w:r w:rsidR="00687524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janeiro </w:t>
      </w: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de 201</w:t>
      </w:r>
      <w:r w:rsidR="00295D53">
        <w:rPr>
          <w:rFonts w:eastAsia="Times New Roman" w:cs="Times New Roman"/>
          <w:b w:val="0"/>
          <w:bCs w:val="0"/>
          <w:kern w:val="0"/>
          <w:lang w:eastAsia="ar-SA" w:bidi="ar-SA"/>
        </w:rPr>
        <w:t>4</w:t>
      </w: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, 126º da República.</w:t>
      </w:r>
    </w:p>
    <w:p w:rsidR="003F1D97" w:rsidRPr="004E6E7F" w:rsidRDefault="003F1D97" w:rsidP="003F1D97">
      <w:pPr>
        <w:rPr>
          <w:lang w:eastAsia="ar-SA" w:bidi="ar-SA"/>
        </w:rPr>
      </w:pPr>
    </w:p>
    <w:p w:rsidR="00597C29" w:rsidRPr="004E6E7F" w:rsidRDefault="00597C29" w:rsidP="00597C29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597C29" w:rsidRPr="004E6E7F" w:rsidRDefault="00597C29" w:rsidP="00597C29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DE4F32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CONFÚCIO AIRES MOURA</w:t>
      </w:r>
    </w:p>
    <w:p w:rsidR="00237D07" w:rsidRPr="004E6E7F" w:rsidRDefault="00597C29" w:rsidP="00DE4F32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Governador</w:t>
      </w:r>
    </w:p>
    <w:p w:rsidR="00DE4F32" w:rsidRPr="004E6E7F" w:rsidRDefault="00DE4F32" w:rsidP="00DE4F32">
      <w:pPr>
        <w:rPr>
          <w:lang w:eastAsia="ar-SA" w:bidi="ar-SA"/>
        </w:rPr>
      </w:pPr>
    </w:p>
    <w:p w:rsidR="00597C29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597C29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GILVAN RAMOS DE ALMEIDA</w:t>
      </w:r>
    </w:p>
    <w:p w:rsidR="00DE4F32" w:rsidRPr="004E6E7F" w:rsidRDefault="00597C29" w:rsidP="00DE4F32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Secretário de Estado de Finanças</w:t>
      </w:r>
    </w:p>
    <w:p w:rsidR="00DE4F32" w:rsidRPr="004E6E7F" w:rsidRDefault="00DE4F32" w:rsidP="00DE4F32">
      <w:pPr>
        <w:rPr>
          <w:lang w:eastAsia="ar-SA" w:bidi="ar-SA"/>
        </w:rPr>
      </w:pPr>
    </w:p>
    <w:p w:rsidR="00DE4F32" w:rsidRPr="004E6E7F" w:rsidRDefault="00DE4F32" w:rsidP="00DE4F32">
      <w:pPr>
        <w:rPr>
          <w:lang w:eastAsia="ar-SA" w:bidi="ar-SA"/>
        </w:rPr>
      </w:pPr>
    </w:p>
    <w:p w:rsidR="00237D07" w:rsidRPr="004E6E7F" w:rsidRDefault="00237D07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WAGNER GARCIA DE FREITAS</w:t>
      </w:r>
    </w:p>
    <w:p w:rsidR="00DE4F32" w:rsidRPr="004E6E7F" w:rsidRDefault="00237D07" w:rsidP="00DE4F32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Secretário Adjunto de Estado de Finanças</w:t>
      </w:r>
    </w:p>
    <w:p w:rsidR="003F1D97" w:rsidRPr="004E6E7F" w:rsidRDefault="003F1D97" w:rsidP="003F1D97">
      <w:pPr>
        <w:rPr>
          <w:lang w:eastAsia="ar-SA" w:bidi="ar-SA"/>
        </w:rPr>
      </w:pPr>
    </w:p>
    <w:p w:rsidR="00597C29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597C29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WILSON CÉZAR DE CARVALHO</w:t>
      </w:r>
    </w:p>
    <w:p w:rsidR="00597C29" w:rsidRPr="004E6E7F" w:rsidRDefault="00597C29" w:rsidP="00181EA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4E6E7F">
        <w:rPr>
          <w:rFonts w:eastAsia="Times New Roman" w:cs="Times New Roman"/>
          <w:b w:val="0"/>
          <w:bCs w:val="0"/>
          <w:kern w:val="0"/>
          <w:lang w:eastAsia="ar-SA" w:bidi="ar-SA"/>
        </w:rPr>
        <w:t>Coordenador-Geral da Receita Estadual</w:t>
      </w:r>
    </w:p>
    <w:p w:rsidR="00597C29" w:rsidRPr="004E6E7F" w:rsidRDefault="00597C29" w:rsidP="00597C29">
      <w:pPr>
        <w:jc w:val="center"/>
        <w:rPr>
          <w:lang w:eastAsia="ar-SA" w:bidi="ar-SA"/>
        </w:rPr>
      </w:pPr>
    </w:p>
    <w:tbl>
      <w:tblPr>
        <w:tblW w:w="956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29"/>
        <w:gridCol w:w="1080"/>
        <w:gridCol w:w="450"/>
        <w:gridCol w:w="270"/>
        <w:gridCol w:w="890"/>
        <w:gridCol w:w="200"/>
        <w:gridCol w:w="1062"/>
        <w:gridCol w:w="520"/>
        <w:gridCol w:w="1727"/>
      </w:tblGrid>
      <w:tr w:rsidR="007545E4" w:rsidRPr="004E6E7F" w:rsidTr="0045705E">
        <w:trPr>
          <w:trHeight w:val="639"/>
        </w:trPr>
        <w:tc>
          <w:tcPr>
            <w:tcW w:w="956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F32" w:rsidRPr="004E6E7F" w:rsidRDefault="00DE4F32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3F1D97" w:rsidRPr="004E6E7F" w:rsidRDefault="003F1D9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251AF4" w:rsidRDefault="00251AF4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251AF4" w:rsidRDefault="00251AF4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251AF4" w:rsidRDefault="00251AF4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251AF4" w:rsidRDefault="00251AF4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251AF4" w:rsidRDefault="00251AF4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7545E4" w:rsidRPr="004E6E7F" w:rsidRDefault="007545E4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4E6E7F">
              <w:rPr>
                <w:b/>
                <w:color w:val="000000"/>
              </w:rPr>
              <w:lastRenderedPageBreak/>
              <w:t>ANEXO I</w:t>
            </w:r>
          </w:p>
        </w:tc>
      </w:tr>
      <w:tr w:rsidR="007545E4" w:rsidRPr="00A532ED" w:rsidTr="0045705E">
        <w:trPr>
          <w:trHeight w:val="495"/>
        </w:trPr>
        <w:tc>
          <w:tcPr>
            <w:tcW w:w="956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B227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kern w:val="0"/>
                <w:lang w:eastAsia="pt-BR" w:bidi="ar-SA"/>
              </w:rPr>
              <w:lastRenderedPageBreak/>
              <w:t>RELATÓRIO DA MOVIMENTAÇÃO DE GÁS LIQUEFEITO DERIVADO DE GÁS NATURAL REALIZADA POR DISTRIBUIDORA</w:t>
            </w:r>
          </w:p>
          <w:p w:rsidR="007545E4" w:rsidRPr="00A532ED" w:rsidRDefault="007545E4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kern w:val="0"/>
                <w:lang w:eastAsia="pt-BR" w:bidi="ar-SA"/>
              </w:rPr>
              <w:t>(Seção III-B, Dos Procedimentos nas Operações com GLGN, art. 731-A e seguintes do RICMS/RO)</w:t>
            </w:r>
          </w:p>
        </w:tc>
      </w:tr>
      <w:tr w:rsidR="007545E4" w:rsidRPr="00A532ED" w:rsidTr="0045705E">
        <w:trPr>
          <w:trHeight w:val="237"/>
        </w:trPr>
        <w:tc>
          <w:tcPr>
            <w:tcW w:w="956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after="200" w:line="27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PERÍODO: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FLS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DADOS DO EMITENTE DO RELATÓRIO</w:t>
            </w:r>
          </w:p>
        </w:tc>
      </w:tr>
      <w:tr w:rsidR="007545E4" w:rsidRPr="00A532ED" w:rsidTr="0045705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4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</w:t>
            </w:r>
          </w:p>
        </w:tc>
      </w:tr>
      <w:tr w:rsidR="007545E4" w:rsidRPr="00A532ED" w:rsidTr="0045705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</w:t>
            </w:r>
          </w:p>
        </w:tc>
        <w:tc>
          <w:tcPr>
            <w:tcW w:w="81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QUADRO 1 - APURAÇÃO DA MÉDIA PONDERADA DO VALOR DA BASE DE CÁLCULO</w:t>
            </w:r>
          </w:p>
        </w:tc>
      </w:tr>
      <w:tr w:rsidR="007545E4" w:rsidRPr="00A532ED" w:rsidTr="0045705E">
        <w:trPr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HISTÓRICO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UNIT MÉDIO AQUISIÇÃO - BC ST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BASE DE CALCULO ST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ESTOQUE INICIAL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(+) RECEBIMENTOS (ENTRADAS)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(=) TOTAL DISPONÍVEL PERÍODO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MÉDIA PONDERADA UNIT. DA BC-ST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(-) SAÍDAS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(-) PERDAS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(+) GANHOS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(=) ESTOQUE FINAL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QUADRO 2a - APURAÇÃO DO PERCENTUAL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NO TOTAL DAS ENTRADAS</w:t>
            </w:r>
          </w:p>
        </w:tc>
      </w:tr>
      <w:tr w:rsidR="007545E4" w:rsidRPr="00A532ED" w:rsidTr="0045705E">
        <w:trPr>
          <w:trHeight w:val="46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MÊS DE REFERENCIA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</w:tr>
      <w:tr w:rsidR="007545E4" w:rsidRPr="00A532ED" w:rsidTr="0045705E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SEGUNDO MÊS IMEDIATAMENTE ANTERIOR...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TERCEIRO MÊS IMEDIATAMENTE ANTERIOR...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QUARTO MÊS IMEDIATAMENTE ANTERIOR...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DAS ENTRADAS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rPr>
          <w:trHeight w:val="255"/>
        </w:trPr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MÉDIA TRIMESTRAL - PROP.DE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45705E"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9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4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</w:tbl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  <w:r w:rsidRPr="00A532ED">
        <w:rPr>
          <w:rFonts w:eastAsia="Times New Roman" w:cs="Times New Roman"/>
          <w:color w:val="000000"/>
          <w:kern w:val="0"/>
          <w:lang w:eastAsia="pt-BR" w:bidi="ar-SA"/>
        </w:rPr>
        <w:t> </w:t>
      </w:r>
    </w:p>
    <w:tbl>
      <w:tblPr>
        <w:tblW w:w="955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1727"/>
        <w:gridCol w:w="1617"/>
        <w:gridCol w:w="1727"/>
      </w:tblGrid>
      <w:tr w:rsidR="007545E4" w:rsidRPr="00A532ED" w:rsidTr="007545E4">
        <w:trPr>
          <w:trHeight w:val="25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QUADRO 2b - APURAÇÃO DO PERCENTUAL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NO TOTAL DAS ENTRADAS</w:t>
            </w:r>
          </w:p>
        </w:tc>
      </w:tr>
      <w:tr w:rsidR="007545E4" w:rsidRPr="00A532ED" w:rsidTr="007545E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MÊS DE REFERENCIA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</w:tr>
      <w:tr w:rsidR="007545E4" w:rsidRPr="00A532ED" w:rsidTr="007545E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SEGUNDO MÊS IMEDIATAMENTE ANTERIOR...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TERCEIRO MÊS IMEDIATAMENTE ANTERIOR...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QUARTO MÊS IMEDIATAMENTE ANTERIOR...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DAS ENTRADAS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MÉDIA TRIMESTRAL - PROP.DE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</w:tbl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  <w:r w:rsidRPr="00A532ED">
        <w:rPr>
          <w:rFonts w:eastAsia="Times New Roman" w:cs="Times New Roman"/>
          <w:color w:val="000000"/>
          <w:kern w:val="0"/>
          <w:lang w:eastAsia="pt-BR" w:bidi="ar-SA"/>
        </w:rPr>
        <w:t> </w:t>
      </w: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  <w:r w:rsidRPr="00A532ED">
        <w:rPr>
          <w:rFonts w:eastAsia="Times New Roman" w:cs="Times New Roman"/>
          <w:color w:val="000000"/>
          <w:kern w:val="0"/>
          <w:lang w:eastAsia="pt-BR" w:bidi="ar-SA"/>
        </w:rPr>
        <w:br w:type="textWrapping" w:clear="all"/>
      </w: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pt-BR" w:bidi="ar-SA"/>
        </w:rPr>
      </w:pPr>
    </w:p>
    <w:p w:rsidR="007545E4" w:rsidRPr="00A532ED" w:rsidRDefault="007545E4" w:rsidP="00256683">
      <w:pPr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  <w:sectPr w:rsidR="007545E4" w:rsidRPr="00A532ED" w:rsidSect="00256683">
          <w:headerReference w:type="default" r:id="rId10"/>
          <w:footerReference w:type="default" r:id="rId11"/>
          <w:pgSz w:w="11906" w:h="16838"/>
          <w:pgMar w:top="1134" w:right="567" w:bottom="567" w:left="1134" w:header="1134" w:footer="1134" w:gutter="0"/>
          <w:cols w:space="720"/>
          <w:docGrid w:linePitch="326"/>
        </w:sectPr>
      </w:pPr>
    </w:p>
    <w:tbl>
      <w:tblPr>
        <w:tblW w:w="16148" w:type="dxa"/>
        <w:tblInd w:w="-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97"/>
        <w:gridCol w:w="1161"/>
        <w:gridCol w:w="1617"/>
        <w:gridCol w:w="1277"/>
        <w:gridCol w:w="340"/>
        <w:gridCol w:w="1617"/>
        <w:gridCol w:w="75"/>
        <w:gridCol w:w="723"/>
        <w:gridCol w:w="31"/>
        <w:gridCol w:w="721"/>
        <w:gridCol w:w="1035"/>
        <w:gridCol w:w="180"/>
        <w:gridCol w:w="897"/>
        <w:gridCol w:w="571"/>
        <w:gridCol w:w="1046"/>
        <w:gridCol w:w="469"/>
        <w:gridCol w:w="741"/>
        <w:gridCol w:w="1764"/>
        <w:gridCol w:w="60"/>
        <w:gridCol w:w="60"/>
      </w:tblGrid>
      <w:tr w:rsidR="007545E4" w:rsidRPr="00A532ED" w:rsidTr="007545E4">
        <w:trPr>
          <w:trHeight w:val="255"/>
        </w:trPr>
        <w:tc>
          <w:tcPr>
            <w:tcW w:w="16033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407AB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after="200" w:line="27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6033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PERÍODO: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FLS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                     /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60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DADOS DO EMITENTE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</w:t>
            </w:r>
          </w:p>
        </w:tc>
        <w:tc>
          <w:tcPr>
            <w:tcW w:w="7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</w:t>
            </w:r>
          </w:p>
        </w:tc>
        <w:tc>
          <w:tcPr>
            <w:tcW w:w="142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</w:t>
            </w:r>
          </w:p>
        </w:tc>
        <w:tc>
          <w:tcPr>
            <w:tcW w:w="125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55"/>
        </w:trPr>
        <w:tc>
          <w:tcPr>
            <w:tcW w:w="160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5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5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5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60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QUADRO 3 - RELAÇÃO DOS RECEBIMENTOS NO PERÍODO (ENTRADAS)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42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 ST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60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</w:t>
            </w:r>
          </w:p>
        </w:tc>
        <w:tc>
          <w:tcPr>
            <w:tcW w:w="142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84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NOTA FISCAL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CFOP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 (Kg)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55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DA OP. PRÓPRIA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(%)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(R$)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BASE DE CALCULO - ST (R$)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(%)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ST (R$)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97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NÚMERO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DO REMETENTE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-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50"/>
        </w:trPr>
        <w:tc>
          <w:tcPr>
            <w:tcW w:w="160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DO PERÍODO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20"/>
        </w:trPr>
        <w:tc>
          <w:tcPr>
            <w:tcW w:w="160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2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2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2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79"/>
        </w:trPr>
        <w:tc>
          <w:tcPr>
            <w:tcW w:w="1603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79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QUADRO 4 - RELAÇÃO DAS REMESSAS REALIZADAS NO PERÍODO (SAÍDAS)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79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79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423"/>
        </w:trPr>
        <w:tc>
          <w:tcPr>
            <w:tcW w:w="85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OPERAÇÕES DESTINADAS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 (Kg)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85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AO PRÓPRIO ESTADO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85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AO EXTERIOR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86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 UNIDADE FEDERADA 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99"/>
        </w:trPr>
        <w:tc>
          <w:tcPr>
            <w:tcW w:w="86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 UNIDADE FEDERADA 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99"/>
        </w:trPr>
        <w:tc>
          <w:tcPr>
            <w:tcW w:w="86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 UNIDADE FEDERADA 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86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DO PERÍODO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55"/>
        </w:trPr>
        <w:tc>
          <w:tcPr>
            <w:tcW w:w="785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Declaro, na forma e sob as penas da lei, que as informações contidas neste relatório são a expressão da verdade e que as mesmas foram extraídas dos livros e documentos fiscais do contribuinte emitente.</w:t>
            </w: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IDENTIFICAÇÃO DO SIGNATÁRIO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VISTO DA FISCALIZAÇÃO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0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NOME</w:t>
            </w:r>
          </w:p>
        </w:tc>
        <w:tc>
          <w:tcPr>
            <w:tcW w:w="4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0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0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0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0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7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7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CPF-MF</w:t>
            </w:r>
          </w:p>
        </w:tc>
        <w:tc>
          <w:tcPr>
            <w:tcW w:w="4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7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7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7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225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LOCAL E DATA</w:t>
            </w:r>
          </w:p>
        </w:tc>
        <w:tc>
          <w:tcPr>
            <w:tcW w:w="6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CÉDULA (RG)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225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67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ASSINATURA</w:t>
            </w:r>
          </w:p>
        </w:tc>
        <w:tc>
          <w:tcPr>
            <w:tcW w:w="6087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CARGO</w:t>
            </w:r>
          </w:p>
        </w:tc>
        <w:tc>
          <w:tcPr>
            <w:tcW w:w="4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6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rPr>
          <w:trHeight w:val="154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4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RESPONSAVEL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4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TELEFONES</w:t>
            </w:r>
          </w:p>
        </w:tc>
        <w:tc>
          <w:tcPr>
            <w:tcW w:w="4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4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4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Calibri" w:eastAsia="Times New Roman" w:hAnsi="Calibri" w:cs="Calibri"/>
                <w:kern w:val="0"/>
                <w:lang w:eastAsia="pt-BR" w:bidi="ar-SA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spacing w:before="100" w:beforeAutospacing="1" w:after="100" w:afterAutospacing="1" w:line="154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7545E4" w:rsidRPr="00A532ED" w:rsidTr="007545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5E4" w:rsidRPr="00A532ED" w:rsidRDefault="007545E4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:rsidR="007545E4" w:rsidRPr="00A532ED" w:rsidRDefault="007545E4" w:rsidP="00256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t-BR" w:bidi="ar-SA"/>
        </w:rPr>
      </w:pPr>
      <w:r w:rsidRPr="00A532ED">
        <w:rPr>
          <w:rFonts w:eastAsia="Times New Roman" w:cs="Times New Roman"/>
          <w:color w:val="000000"/>
          <w:kern w:val="0"/>
          <w:lang w:eastAsia="pt-BR" w:bidi="ar-SA"/>
        </w:rPr>
        <w:t> </w:t>
      </w:r>
    </w:p>
    <w:p w:rsidR="007545E4" w:rsidRPr="00A532ED" w:rsidRDefault="007545E4" w:rsidP="00256683">
      <w:pPr>
        <w:tabs>
          <w:tab w:val="left" w:pos="6120"/>
        </w:tabs>
        <w:jc w:val="both"/>
        <w:rPr>
          <w:b/>
          <w:color w:val="000000"/>
        </w:rPr>
      </w:pPr>
    </w:p>
    <w:p w:rsidR="007545E4" w:rsidRPr="00A532ED" w:rsidRDefault="007545E4" w:rsidP="00256683">
      <w:pPr>
        <w:tabs>
          <w:tab w:val="left" w:pos="6120"/>
        </w:tabs>
        <w:jc w:val="both"/>
        <w:rPr>
          <w:b/>
          <w:color w:val="000000"/>
        </w:rPr>
      </w:pPr>
    </w:p>
    <w:p w:rsidR="00597C29" w:rsidRPr="00A532ED" w:rsidRDefault="00597C29" w:rsidP="00597C29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W w:w="15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661"/>
        <w:gridCol w:w="609"/>
        <w:gridCol w:w="713"/>
        <w:gridCol w:w="609"/>
        <w:gridCol w:w="795"/>
        <w:gridCol w:w="615"/>
        <w:gridCol w:w="514"/>
        <w:gridCol w:w="449"/>
        <w:gridCol w:w="256"/>
        <w:gridCol w:w="160"/>
        <w:gridCol w:w="400"/>
        <w:gridCol w:w="360"/>
        <w:gridCol w:w="602"/>
        <w:gridCol w:w="242"/>
        <w:gridCol w:w="250"/>
        <w:gridCol w:w="282"/>
        <w:gridCol w:w="631"/>
        <w:gridCol w:w="550"/>
        <w:gridCol w:w="783"/>
        <w:gridCol w:w="448"/>
        <w:gridCol w:w="247"/>
        <w:gridCol w:w="333"/>
        <w:gridCol w:w="681"/>
        <w:gridCol w:w="163"/>
        <w:gridCol w:w="160"/>
        <w:gridCol w:w="814"/>
        <w:gridCol w:w="932"/>
        <w:gridCol w:w="942"/>
        <w:gridCol w:w="52"/>
      </w:tblGrid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ABA" w:rsidRPr="00A532ED" w:rsidRDefault="00407ABA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B227A7" w:rsidRDefault="00B227A7" w:rsidP="00597C29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</w:p>
          <w:p w:rsidR="000D2643" w:rsidRPr="00A532ED" w:rsidRDefault="000D2643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b/>
                <w:color w:val="000000"/>
              </w:rPr>
              <w:lastRenderedPageBreak/>
              <w:t>ANEXO II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7C29" w:rsidRPr="00A532ED" w:rsidRDefault="000D2643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kern w:val="0"/>
                <w:lang w:eastAsia="pt-BR" w:bidi="ar-SA"/>
              </w:rPr>
              <w:lastRenderedPageBreak/>
              <w:t xml:space="preserve">RELATÓRIO DAS OPERAÇÕES INTERESTADUAIS COM GÁS LIQUEFEITO DERIVADO DE GÁS NATURAL REALIZADAS POR </w:t>
            </w:r>
          </w:p>
          <w:p w:rsidR="00597C29" w:rsidRPr="00A532ED" w:rsidRDefault="000D2643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kern w:val="0"/>
                <w:lang w:eastAsia="pt-BR" w:bidi="ar-SA"/>
              </w:rPr>
              <w:t>DISTRIBUIDORA</w:t>
            </w:r>
          </w:p>
          <w:p w:rsidR="00597C29" w:rsidRPr="00A532ED" w:rsidRDefault="000D2643" w:rsidP="00407AB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ascii="Arial-BoldMT" w:eastAsia="Times New Roman" w:hAnsi="Arial-BoldMT" w:cs="Arial-BoldMT"/>
                <w:b/>
                <w:bCs/>
                <w:kern w:val="0"/>
                <w:lang w:eastAsia="pt-BR" w:bidi="ar-SA"/>
              </w:rPr>
              <w:t>(Seção III-B, Dos Procedimentos nas Operações com GLGN, art. 731-A e seguintes do RICMS/RO)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13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PERÍODO:</w:t>
            </w:r>
          </w:p>
        </w:tc>
        <w:tc>
          <w:tcPr>
            <w:tcW w:w="4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7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 DESTINATÁRIA DO PRODUTO: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FLS: _______/_______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180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1. DADOS DO EMITENTE DO RELATÓRIO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56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CNPJ:</w:t>
            </w:r>
          </w:p>
        </w:tc>
        <w:tc>
          <w:tcPr>
            <w:tcW w:w="49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 :</w:t>
            </w:r>
          </w:p>
        </w:tc>
        <w:tc>
          <w:tcPr>
            <w:tcW w:w="4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 - ST: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SOCIAL: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31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180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2. RELAÇÃO DAS OPERAÇÕES REALIZADAS NO PERÍODO (EXCETO PARA NÃO CONTRIBUINTES)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CNPJ:</w:t>
            </w:r>
          </w:p>
        </w:tc>
        <w:tc>
          <w:tcPr>
            <w:tcW w:w="77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ESTADUAL: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SOCIAL: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31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NOTA FISCAL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CFOP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FRETE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DEST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AB49F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(Kg</w:t>
            </w:r>
            <w:r w:rsidR="00AB49FD">
              <w:rPr>
                <w:rFonts w:eastAsia="Times New Roman" w:cs="Times New Roman"/>
                <w:kern w:val="0"/>
                <w:lang w:eastAsia="pt-BR" w:bidi="ar-SA"/>
              </w:rPr>
              <w:t>)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</w:t>
            </w: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(%)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OPERAÇÃO PRÓPRIA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76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INTEREST</w:t>
            </w:r>
          </w:p>
        </w:tc>
        <w:tc>
          <w:tcPr>
            <w:tcW w:w="103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BCST DESTINO</w:t>
            </w:r>
          </w:p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(R$)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64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ALÍQ. DESTINO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DEVIDO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81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NÚMERO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PRÓPR</w:t>
            </w: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IO</w:t>
            </w:r>
          </w:p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NA ORIGEM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 xml:space="preserve">ICMS ST DO </w:t>
            </w: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DESTINO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 </w:t>
            </w:r>
          </w:p>
        </w:tc>
      </w:tr>
      <w:tr w:rsidR="000D2643" w:rsidRPr="00A532ED" w:rsidTr="00597C29">
        <w:trPr>
          <w:trHeight w:val="8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3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DO DESTINATÁRIO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180"/>
        </w:trPr>
        <w:tc>
          <w:tcPr>
            <w:tcW w:w="1515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CNPJ:</w:t>
            </w:r>
          </w:p>
        </w:tc>
        <w:tc>
          <w:tcPr>
            <w:tcW w:w="7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ESTADUAL: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515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SOCIAL: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31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NOTA FISCAL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58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CFOP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75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FRETE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19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DEST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 (Kg))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73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PROPOR-ÇÃO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(%)</w:t>
            </w:r>
          </w:p>
        </w:tc>
        <w:tc>
          <w:tcPr>
            <w:tcW w:w="72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OPERAÇÃO PRÓPRIA</w:t>
            </w:r>
          </w:p>
        </w:tc>
        <w:tc>
          <w:tcPr>
            <w:tcW w:w="145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INTEREST</w:t>
            </w: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BCST DESTINO (R$)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64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DESTINO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DEVIDO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97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89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NÚMERO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34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21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NÚMERO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ind w:right="-15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ST DO DESTINO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3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DO DESTINATÁRIO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180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07"/>
        </w:trPr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TOTAL DAS OPERAÇÕES REALIZADAS NO PERÍODO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180"/>
        </w:trPr>
        <w:tc>
          <w:tcPr>
            <w:tcW w:w="15152" w:type="dxa"/>
            <w:gridSpan w:val="2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 w:line="18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773"/>
        </w:trPr>
        <w:tc>
          <w:tcPr>
            <w:tcW w:w="64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Declaro, na forma e sob as penas da lei, que as informações contidas neste relatório são a expressão da verdade e que as mesmas foram extraídas dos livros e documentos fiscais do contribuinte emitente.</w:t>
            </w:r>
          </w:p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IDENTIFICAÇÃO DO SIGNATÁRIO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VISTO DA FISCALIZAÇÃO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rPr>
          <w:trHeight w:val="355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NOME: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0D2643" w:rsidRPr="00A532ED" w:rsidTr="00597C29"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643" w:rsidRPr="00A532ED" w:rsidRDefault="000D2643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:rsidR="00597C29" w:rsidRPr="00A532ED" w:rsidRDefault="00597C29" w:rsidP="00597C29">
      <w:pPr>
        <w:widowControl/>
        <w:suppressAutoHyphens w:val="0"/>
        <w:jc w:val="center"/>
        <w:rPr>
          <w:b/>
        </w:rPr>
      </w:pPr>
    </w:p>
    <w:p w:rsidR="00597C29" w:rsidRPr="00A532ED" w:rsidRDefault="00597C29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251AF4" w:rsidRDefault="00251AF4" w:rsidP="00597C29">
      <w:pPr>
        <w:widowControl/>
        <w:suppressAutoHyphens w:val="0"/>
        <w:jc w:val="center"/>
        <w:rPr>
          <w:b/>
        </w:rPr>
      </w:pPr>
    </w:p>
    <w:p w:rsidR="000D2643" w:rsidRPr="00A532ED" w:rsidRDefault="000D2643" w:rsidP="00597C29">
      <w:pPr>
        <w:widowControl/>
        <w:suppressAutoHyphens w:val="0"/>
        <w:jc w:val="center"/>
        <w:rPr>
          <w:b/>
        </w:rPr>
      </w:pPr>
      <w:r w:rsidRPr="00A532ED">
        <w:rPr>
          <w:b/>
        </w:rPr>
        <w:lastRenderedPageBreak/>
        <w:t>ANEXO III</w:t>
      </w:r>
    </w:p>
    <w:tbl>
      <w:tblPr>
        <w:tblW w:w="15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701"/>
        <w:gridCol w:w="914"/>
        <w:gridCol w:w="464"/>
        <w:gridCol w:w="898"/>
        <w:gridCol w:w="1207"/>
        <w:gridCol w:w="208"/>
        <w:gridCol w:w="1413"/>
        <w:gridCol w:w="1360"/>
        <w:gridCol w:w="1360"/>
        <w:gridCol w:w="664"/>
        <w:gridCol w:w="488"/>
        <w:gridCol w:w="1150"/>
        <w:gridCol w:w="1137"/>
        <w:gridCol w:w="1150"/>
      </w:tblGrid>
      <w:tr w:rsidR="00B5253B" w:rsidRPr="00A532ED" w:rsidTr="00407ABA">
        <w:trPr>
          <w:trHeight w:val="510"/>
        </w:trPr>
        <w:tc>
          <w:tcPr>
            <w:tcW w:w="15277" w:type="dxa"/>
            <w:gridSpan w:val="1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kern w:val="0"/>
                <w:lang w:eastAsia="pt-BR" w:bidi="ar-SA"/>
              </w:rPr>
              <w:t>RESUMO DAS OPERAÇÕES INTERESTADUAIS COM GÁS LIQUEFEITO DERIVADO DE GÁS NATURAL REALIZADAS POR DISTRIBUIDORA</w:t>
            </w:r>
          </w:p>
          <w:p w:rsidR="00597C29" w:rsidRPr="00A532ED" w:rsidRDefault="00B5253B" w:rsidP="00597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532ED">
              <w:rPr>
                <w:rFonts w:ascii="Arial-BoldMT" w:eastAsia="Times New Roman" w:hAnsi="Arial-BoldMT" w:cs="Arial-BoldMT"/>
                <w:b/>
                <w:bCs/>
                <w:kern w:val="0"/>
                <w:lang w:eastAsia="pt-BR" w:bidi="ar-SA"/>
              </w:rPr>
              <w:t>(Seção III-B, Dos Procedimentos nas Operações com GLGN, art. 731-A e seguintes do RICMS/RO)</w:t>
            </w:r>
          </w:p>
        </w:tc>
      </w:tr>
      <w:tr w:rsidR="00B5253B" w:rsidRPr="00A532ED" w:rsidTr="00407ABA">
        <w:trPr>
          <w:trHeight w:val="255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PERÍODO: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 DESTINATÁRIA DO PRODUTO: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FLS. /</w:t>
            </w:r>
          </w:p>
        </w:tc>
      </w:tr>
      <w:tr w:rsidR="00B5253B" w:rsidRPr="00A532ED" w:rsidTr="00407ABA">
        <w:trPr>
          <w:trHeight w:val="150"/>
        </w:trPr>
        <w:tc>
          <w:tcPr>
            <w:tcW w:w="15277" w:type="dxa"/>
            <w:gridSpan w:val="1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 w:line="150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1. DADOS DO EMITENTE DO RELATÓRIO</w:t>
            </w:r>
          </w:p>
        </w:tc>
      </w:tr>
      <w:tr w:rsidR="00B5253B" w:rsidRPr="00A532ED" w:rsidTr="00407ABA">
        <w:trPr>
          <w:trHeight w:val="255"/>
        </w:trPr>
        <w:tc>
          <w:tcPr>
            <w:tcW w:w="113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CNPJ: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ESTADUAL: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SOCIAL: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</w:tr>
      <w:tr w:rsidR="00B5253B" w:rsidRPr="00A532ED" w:rsidTr="00407ABA">
        <w:trPr>
          <w:trHeight w:val="201"/>
        </w:trPr>
        <w:tc>
          <w:tcPr>
            <w:tcW w:w="15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 w:line="201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2. DADOS DO DESTINATÁRIO DO RELATÓRIO</w:t>
            </w:r>
          </w:p>
        </w:tc>
      </w:tr>
      <w:tr w:rsidR="00B5253B" w:rsidRPr="00A532ED" w:rsidTr="00407ABA">
        <w:trPr>
          <w:trHeight w:val="255"/>
        </w:trPr>
        <w:tc>
          <w:tcPr>
            <w:tcW w:w="113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CNPJ: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INSCRIÇÃO ESTADUAL: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RAZÃO SOCIAL: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ENDEREÇO: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116"/>
        </w:trPr>
        <w:tc>
          <w:tcPr>
            <w:tcW w:w="15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 w:line="116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3. APURAÇÃO DO IMPOSTO DAS OPERAÇÕES REALIZADAS NO PERÍODO</w:t>
            </w:r>
          </w:p>
        </w:tc>
      </w:tr>
      <w:tr w:rsidR="00407ABA" w:rsidRPr="00A532ED" w:rsidTr="00407ABA">
        <w:trPr>
          <w:trHeight w:val="25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CNPJ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QUANTIDADE DE GLP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+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 (Kg)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GLGNn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 (KG)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BF6DE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 xml:space="preserve">QTDE DE </w:t>
            </w:r>
            <w:proofErr w:type="spellStart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GLGNi</w:t>
            </w:r>
            <w:proofErr w:type="spellEnd"/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(KG</w:t>
            </w:r>
            <w:r w:rsidR="00BF6DE1" w:rsidRPr="00A532ED">
              <w:rPr>
                <w:rFonts w:eastAsia="Times New Roman" w:cs="Times New Roman"/>
                <w:kern w:val="0"/>
                <w:lang w:eastAsia="pt-BR" w:bidi="ar-SA"/>
              </w:rPr>
              <w:t>)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OPERAÇÃO PRÓPRIA(n)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VALOR OPERAÇÃO PRÓPRIA(i)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ALÍQUOTA INTE(n)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ALÍQUOTA INTE(i)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BCST DESTINO (R$)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ALÍQ. DESTINO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DEVIDO</w:t>
            </w:r>
          </w:p>
        </w:tc>
      </w:tr>
      <w:tr w:rsidR="00407ABA" w:rsidRPr="00A532ED" w:rsidTr="00407ABA">
        <w:trPr>
          <w:trHeight w:val="360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PRÓPRIO NA ORIGEM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ICMS DO DESTINO</w:t>
            </w:r>
          </w:p>
        </w:tc>
      </w:tr>
      <w:tr w:rsidR="00407ABA" w:rsidRPr="00A532ED" w:rsidTr="00407ABA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407ABA" w:rsidRPr="00A532ED" w:rsidTr="00407ABA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407ABA" w:rsidRPr="00A532ED" w:rsidTr="00407ABA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407ABA" w:rsidRPr="00A532ED" w:rsidTr="00407ABA">
        <w:trPr>
          <w:trHeight w:val="2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407AB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TOTAL DO PERÍOD</w:t>
            </w:r>
            <w:r w:rsidR="00407ABA" w:rsidRPr="00A532ED">
              <w:rPr>
                <w:rFonts w:eastAsia="Times New Roman" w:cs="Times New Roman"/>
                <w:kern w:val="0"/>
                <w:lang w:eastAsia="pt-BR" w:bidi="ar-SA"/>
              </w:rPr>
              <w:t>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147"/>
        </w:trPr>
        <w:tc>
          <w:tcPr>
            <w:tcW w:w="15277" w:type="dxa"/>
            <w:gridSpan w:val="1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line="14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ascii="Arial" w:eastAsia="Times New Roman" w:hAnsi="Arial" w:cs="Arial"/>
                <w:kern w:val="0"/>
                <w:lang w:eastAsia="pt-BR" w:bidi="ar-SA"/>
              </w:rPr>
              <w:br w:type="page"/>
            </w:r>
          </w:p>
        </w:tc>
      </w:tr>
      <w:tr w:rsidR="00B5253B" w:rsidRPr="00A532ED" w:rsidTr="00407ABA">
        <w:trPr>
          <w:trHeight w:val="255"/>
        </w:trPr>
        <w:tc>
          <w:tcPr>
            <w:tcW w:w="15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 RESULTADO DA APURAÇÃO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4.1 CARGA TRIBUTÁRIA TOTAL COBRADA NA ENTRADA DO PRODUTO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4.2 IMPOSTO NORMAL DEVIDO EM FAVOR DA UNIDADE FEDERADA DE ORIGEM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4.3 PARCELA DO IMPOSTO DISPONÍVEL PARA REPASSE (4.1 - 4.2)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4.4 ICMS DEVIDO A UNIDADE FEDERADA DE DESTINO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4.5 IMPOSTO A SER REPASSADO PARA A UNIDADE FEDERADA DE DESTINO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4.6 IMPOSTO A SER RESSARCIDO (4.3 - 4.4)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4.7 VALOR A SER COMPLEMENTADO (4.4 - 4.5)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4.8 COMPLEMENTO RECOLHIDO ATRAVÉS DE GNRE A FAVOR DA UF DE DESTINO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4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4.9 VALOR A SER COMPLEMENTADO (4.7 - 4.8)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27"/>
        </w:trPr>
        <w:tc>
          <w:tcPr>
            <w:tcW w:w="15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 w:line="227" w:lineRule="atLeast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 </w:t>
            </w:r>
          </w:p>
        </w:tc>
      </w:tr>
      <w:tr w:rsidR="00B5253B" w:rsidRPr="00A532ED" w:rsidTr="00407ABA">
        <w:trPr>
          <w:trHeight w:val="255"/>
        </w:trPr>
        <w:tc>
          <w:tcPr>
            <w:tcW w:w="1131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Declaro, na forma e sob as penas da lei, que as informações contidas neste relatório são a expressão da verdade e que as mesmas foram extraídas dos livros e documentos fiscais do contribuinte emitente.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IDENTIFICAÇÃO DO SIGNATÁRIO</w:t>
            </w:r>
          </w:p>
        </w:tc>
      </w:tr>
      <w:tr w:rsidR="00B5253B" w:rsidRPr="00A532ED" w:rsidTr="00407ABA">
        <w:trPr>
          <w:trHeight w:val="255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NOME:</w:t>
            </w:r>
          </w:p>
        </w:tc>
      </w:tr>
      <w:tr w:rsidR="00B5253B" w:rsidRPr="00A532ED" w:rsidTr="00407ABA">
        <w:trPr>
          <w:trHeight w:val="255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CPF-MF:</w:t>
            </w:r>
          </w:p>
        </w:tc>
      </w:tr>
      <w:tr w:rsidR="00B5253B" w:rsidRPr="00A532ED" w:rsidTr="00407ABA">
        <w:trPr>
          <w:trHeight w:val="255"/>
        </w:trPr>
        <w:tc>
          <w:tcPr>
            <w:tcW w:w="113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LOCAL E DATA: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CÉDULA DE IDENTIDADE: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UF:</w:t>
            </w:r>
          </w:p>
        </w:tc>
      </w:tr>
      <w:tr w:rsidR="00B5253B" w:rsidRPr="00A532ED" w:rsidTr="00407ABA">
        <w:trPr>
          <w:trHeight w:val="255"/>
        </w:trPr>
        <w:tc>
          <w:tcPr>
            <w:tcW w:w="1131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ASSINATURA DO RESPONSÁVEL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CARGO:</w:t>
            </w:r>
          </w:p>
        </w:tc>
      </w:tr>
      <w:tr w:rsidR="00B5253B" w:rsidRPr="00A532ED" w:rsidTr="00407ABA">
        <w:trPr>
          <w:trHeight w:val="255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TELEFONES:</w:t>
            </w:r>
          </w:p>
        </w:tc>
      </w:tr>
      <w:tr w:rsidR="00B5253B" w:rsidRPr="00DE4F32" w:rsidTr="00407ABA">
        <w:trPr>
          <w:trHeight w:val="255"/>
        </w:trPr>
        <w:tc>
          <w:tcPr>
            <w:tcW w:w="4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A532ED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A532ED">
              <w:rPr>
                <w:rFonts w:eastAsia="Times New Roman" w:cs="Times New Roman"/>
                <w:kern w:val="0"/>
                <w:lang w:eastAsia="pt-BR" w:bidi="ar-SA"/>
              </w:rPr>
              <w:t>STO DA FISCALIZAÇÃO</w:t>
            </w:r>
          </w:p>
          <w:p w:rsidR="00B5253B" w:rsidRPr="00DE4F32" w:rsidRDefault="00B5253B" w:rsidP="002566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DE4F32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 </w:t>
            </w:r>
          </w:p>
        </w:tc>
        <w:tc>
          <w:tcPr>
            <w:tcW w:w="11131" w:type="dxa"/>
            <w:gridSpan w:val="11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53B" w:rsidRPr="00DE4F32" w:rsidRDefault="00B5253B" w:rsidP="00407AB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  <w:r w:rsidRPr="00DE4F32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  </w:t>
            </w:r>
          </w:p>
        </w:tc>
      </w:tr>
      <w:tr w:rsidR="00407ABA" w:rsidRPr="00DE4F32" w:rsidTr="00407ABA">
        <w:tc>
          <w:tcPr>
            <w:tcW w:w="0" w:type="auto"/>
            <w:vAlign w:val="center"/>
            <w:hideMark/>
          </w:tcPr>
          <w:p w:rsidR="00B5253B" w:rsidRPr="00DE4F32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253B" w:rsidRPr="00DE4F32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253B" w:rsidRPr="00DE4F32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253B" w:rsidRPr="00DE4F32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B5253B" w:rsidRPr="00DE4F32" w:rsidRDefault="00B5253B" w:rsidP="0025668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:rsidR="00C6167E" w:rsidRPr="00DE4F32" w:rsidRDefault="00C6167E" w:rsidP="00256683">
      <w:pPr>
        <w:tabs>
          <w:tab w:val="left" w:pos="6120"/>
        </w:tabs>
        <w:jc w:val="both"/>
        <w:rPr>
          <w:b/>
        </w:rPr>
      </w:pPr>
    </w:p>
    <w:p w:rsidR="000D2643" w:rsidRPr="00DE4F32" w:rsidRDefault="000D2643" w:rsidP="00256683">
      <w:pPr>
        <w:tabs>
          <w:tab w:val="left" w:pos="6120"/>
        </w:tabs>
        <w:jc w:val="both"/>
        <w:rPr>
          <w:b/>
        </w:rPr>
      </w:pPr>
    </w:p>
    <w:sectPr w:rsidR="000D2643" w:rsidRPr="00DE4F32" w:rsidSect="00256683">
      <w:pgSz w:w="16838" w:h="11906" w:orient="landscape"/>
      <w:pgMar w:top="1134" w:right="567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FA" w:rsidRDefault="009812FA">
      <w:r>
        <w:separator/>
      </w:r>
    </w:p>
  </w:endnote>
  <w:endnote w:type="continuationSeparator" w:id="0">
    <w:p w:rsidR="009812FA" w:rsidRDefault="0098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4" w:rsidRDefault="009812FA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875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FA" w:rsidRDefault="009812FA">
      <w:r>
        <w:separator/>
      </w:r>
    </w:p>
  </w:footnote>
  <w:footnote w:type="continuationSeparator" w:id="0">
    <w:p w:rsidR="009812FA" w:rsidRDefault="0098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4" w:rsidRDefault="00251AF4">
    <w:pPr>
      <w:pStyle w:val="Cabealho"/>
      <w:ind w:right="360"/>
      <w:jc w:val="center"/>
      <w:rPr>
        <w:b/>
        <w:bCs/>
      </w:rPr>
    </w:pPr>
    <w:r>
      <w:object w:dxaOrig="1091" w:dyaOrig="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5pt;height:69.5pt" o:ole="" filled="t">
          <v:fill color2="black"/>
          <v:imagedata r:id="rId1" o:title=""/>
        </v:shape>
        <o:OLEObject Type="Embed" ProgID="Word.Picture.8" ShapeID="_x0000_i1025" DrawAspect="Content" ObjectID="_1451286377" r:id="rId2"/>
      </w:object>
    </w:r>
  </w:p>
  <w:p w:rsidR="00251AF4" w:rsidRDefault="00251AF4">
    <w:pPr>
      <w:pStyle w:val="Cabealho"/>
      <w:jc w:val="center"/>
    </w:pPr>
    <w:r>
      <w:rPr>
        <w:b/>
        <w:bCs/>
      </w:rPr>
      <w:t>GOVERNO DO ESTADO DE RONDÔNIA</w:t>
    </w:r>
  </w:p>
  <w:p w:rsidR="00251AF4" w:rsidRPr="00251AF4" w:rsidRDefault="00251AF4" w:rsidP="00251AF4">
    <w:pPr>
      <w:pStyle w:val="Ttulo4"/>
    </w:pPr>
    <w:r>
      <w:rPr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00"/>
      <w:numFmt w:val="lowerRoman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2E02C7"/>
    <w:multiLevelType w:val="hybridMultilevel"/>
    <w:tmpl w:val="94B2FFC0"/>
    <w:lvl w:ilvl="0" w:tplc="DA102DB2">
      <w:start w:val="1"/>
      <w:numFmt w:val="lowerLetter"/>
      <w:lvlText w:val="%1."/>
      <w:lvlJc w:val="left"/>
      <w:pPr>
        <w:ind w:left="1395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8D2CFE"/>
    <w:multiLevelType w:val="hybridMultilevel"/>
    <w:tmpl w:val="EA4ACC9A"/>
    <w:lvl w:ilvl="0" w:tplc="77B0166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F"/>
    <w:rsid w:val="000001F5"/>
    <w:rsid w:val="000043AB"/>
    <w:rsid w:val="0000588C"/>
    <w:rsid w:val="000114AC"/>
    <w:rsid w:val="0001352D"/>
    <w:rsid w:val="00015BF0"/>
    <w:rsid w:val="000202ED"/>
    <w:rsid w:val="000202EE"/>
    <w:rsid w:val="0002593C"/>
    <w:rsid w:val="00037B0B"/>
    <w:rsid w:val="00045BF6"/>
    <w:rsid w:val="000477C8"/>
    <w:rsid w:val="00060B4D"/>
    <w:rsid w:val="0006487B"/>
    <w:rsid w:val="00064BFC"/>
    <w:rsid w:val="00072F6B"/>
    <w:rsid w:val="000758E5"/>
    <w:rsid w:val="00082157"/>
    <w:rsid w:val="00082D98"/>
    <w:rsid w:val="000878C9"/>
    <w:rsid w:val="000A0262"/>
    <w:rsid w:val="000A16D0"/>
    <w:rsid w:val="000A716E"/>
    <w:rsid w:val="000B2FA6"/>
    <w:rsid w:val="000B4215"/>
    <w:rsid w:val="000B66CF"/>
    <w:rsid w:val="000C0AED"/>
    <w:rsid w:val="000C3A16"/>
    <w:rsid w:val="000C6F15"/>
    <w:rsid w:val="000C7263"/>
    <w:rsid w:val="000D2643"/>
    <w:rsid w:val="000D2F81"/>
    <w:rsid w:val="000D7CF9"/>
    <w:rsid w:val="000D7D24"/>
    <w:rsid w:val="001101EF"/>
    <w:rsid w:val="0011413C"/>
    <w:rsid w:val="00120150"/>
    <w:rsid w:val="0012528C"/>
    <w:rsid w:val="0013394A"/>
    <w:rsid w:val="001357B6"/>
    <w:rsid w:val="00143324"/>
    <w:rsid w:val="00145BF2"/>
    <w:rsid w:val="00153976"/>
    <w:rsid w:val="00156B57"/>
    <w:rsid w:val="001769BE"/>
    <w:rsid w:val="00181EA7"/>
    <w:rsid w:val="001828FD"/>
    <w:rsid w:val="00182C33"/>
    <w:rsid w:val="0019012F"/>
    <w:rsid w:val="0019059B"/>
    <w:rsid w:val="00191DE2"/>
    <w:rsid w:val="001921F7"/>
    <w:rsid w:val="00193855"/>
    <w:rsid w:val="00194C83"/>
    <w:rsid w:val="001A1002"/>
    <w:rsid w:val="001A3849"/>
    <w:rsid w:val="001A3921"/>
    <w:rsid w:val="001B1321"/>
    <w:rsid w:val="001B2C25"/>
    <w:rsid w:val="001B61FB"/>
    <w:rsid w:val="001C09DE"/>
    <w:rsid w:val="001C17A2"/>
    <w:rsid w:val="001C1A12"/>
    <w:rsid w:val="001C4D5B"/>
    <w:rsid w:val="001D281E"/>
    <w:rsid w:val="001D4F1B"/>
    <w:rsid w:val="001D5863"/>
    <w:rsid w:val="001D697A"/>
    <w:rsid w:val="001D75B6"/>
    <w:rsid w:val="001F5CD0"/>
    <w:rsid w:val="001F5FE6"/>
    <w:rsid w:val="001F78E3"/>
    <w:rsid w:val="00201879"/>
    <w:rsid w:val="002051E8"/>
    <w:rsid w:val="00214D73"/>
    <w:rsid w:val="002161B3"/>
    <w:rsid w:val="00224316"/>
    <w:rsid w:val="00225732"/>
    <w:rsid w:val="002325C7"/>
    <w:rsid w:val="002341FE"/>
    <w:rsid w:val="002350FC"/>
    <w:rsid w:val="00237D07"/>
    <w:rsid w:val="00243F06"/>
    <w:rsid w:val="002511DE"/>
    <w:rsid w:val="002514ED"/>
    <w:rsid w:val="00251AF4"/>
    <w:rsid w:val="002548F5"/>
    <w:rsid w:val="00256683"/>
    <w:rsid w:val="0026170C"/>
    <w:rsid w:val="00267660"/>
    <w:rsid w:val="00275E69"/>
    <w:rsid w:val="00277EAF"/>
    <w:rsid w:val="0028160A"/>
    <w:rsid w:val="00282DAD"/>
    <w:rsid w:val="00283E1B"/>
    <w:rsid w:val="00291DD1"/>
    <w:rsid w:val="0029359F"/>
    <w:rsid w:val="002949A5"/>
    <w:rsid w:val="00295AE5"/>
    <w:rsid w:val="00295D53"/>
    <w:rsid w:val="002A10FA"/>
    <w:rsid w:val="002B158F"/>
    <w:rsid w:val="002B642B"/>
    <w:rsid w:val="002B6811"/>
    <w:rsid w:val="002C2E87"/>
    <w:rsid w:val="002C3930"/>
    <w:rsid w:val="002C4A55"/>
    <w:rsid w:val="002C4D78"/>
    <w:rsid w:val="002E5175"/>
    <w:rsid w:val="003032B8"/>
    <w:rsid w:val="0030335A"/>
    <w:rsid w:val="003136B5"/>
    <w:rsid w:val="00313F34"/>
    <w:rsid w:val="00316756"/>
    <w:rsid w:val="00327D7B"/>
    <w:rsid w:val="003318BF"/>
    <w:rsid w:val="00333F02"/>
    <w:rsid w:val="00342F34"/>
    <w:rsid w:val="003445FD"/>
    <w:rsid w:val="003526D7"/>
    <w:rsid w:val="00356CBB"/>
    <w:rsid w:val="003705CF"/>
    <w:rsid w:val="00373801"/>
    <w:rsid w:val="003804C6"/>
    <w:rsid w:val="00387571"/>
    <w:rsid w:val="0039072E"/>
    <w:rsid w:val="00397BEF"/>
    <w:rsid w:val="003A2414"/>
    <w:rsid w:val="003A70E0"/>
    <w:rsid w:val="003B04C9"/>
    <w:rsid w:val="003B0EF8"/>
    <w:rsid w:val="003B5CF3"/>
    <w:rsid w:val="003C039B"/>
    <w:rsid w:val="003C65A2"/>
    <w:rsid w:val="003D0CC1"/>
    <w:rsid w:val="003D4EE2"/>
    <w:rsid w:val="003D57E3"/>
    <w:rsid w:val="003E1D5E"/>
    <w:rsid w:val="003E2C4C"/>
    <w:rsid w:val="003E4C31"/>
    <w:rsid w:val="003E6E2F"/>
    <w:rsid w:val="003F1D97"/>
    <w:rsid w:val="003F592F"/>
    <w:rsid w:val="00407ABA"/>
    <w:rsid w:val="00417C50"/>
    <w:rsid w:val="004206A6"/>
    <w:rsid w:val="00421B79"/>
    <w:rsid w:val="004224D3"/>
    <w:rsid w:val="00432FE4"/>
    <w:rsid w:val="00453C0C"/>
    <w:rsid w:val="00455589"/>
    <w:rsid w:val="0045705E"/>
    <w:rsid w:val="00473463"/>
    <w:rsid w:val="00475819"/>
    <w:rsid w:val="00480B21"/>
    <w:rsid w:val="00480C6A"/>
    <w:rsid w:val="00485953"/>
    <w:rsid w:val="004B24B9"/>
    <w:rsid w:val="004B2772"/>
    <w:rsid w:val="004B2EEB"/>
    <w:rsid w:val="004B5B5D"/>
    <w:rsid w:val="004C13F7"/>
    <w:rsid w:val="004D2C6F"/>
    <w:rsid w:val="004D5644"/>
    <w:rsid w:val="004E1F96"/>
    <w:rsid w:val="004E6E7F"/>
    <w:rsid w:val="004F410C"/>
    <w:rsid w:val="004F5064"/>
    <w:rsid w:val="004F64D9"/>
    <w:rsid w:val="005159FD"/>
    <w:rsid w:val="00516E1B"/>
    <w:rsid w:val="00522AC1"/>
    <w:rsid w:val="0052356A"/>
    <w:rsid w:val="005253F6"/>
    <w:rsid w:val="0053586A"/>
    <w:rsid w:val="00537144"/>
    <w:rsid w:val="005379D1"/>
    <w:rsid w:val="00540849"/>
    <w:rsid w:val="005444FE"/>
    <w:rsid w:val="00546587"/>
    <w:rsid w:val="005476BC"/>
    <w:rsid w:val="005530EB"/>
    <w:rsid w:val="00565EC6"/>
    <w:rsid w:val="00574178"/>
    <w:rsid w:val="00577660"/>
    <w:rsid w:val="00583B8D"/>
    <w:rsid w:val="00586648"/>
    <w:rsid w:val="00586D6A"/>
    <w:rsid w:val="00587E0D"/>
    <w:rsid w:val="00592A9A"/>
    <w:rsid w:val="00597C29"/>
    <w:rsid w:val="005C5C97"/>
    <w:rsid w:val="005C6498"/>
    <w:rsid w:val="005C7F3E"/>
    <w:rsid w:val="005D0AD9"/>
    <w:rsid w:val="005D151A"/>
    <w:rsid w:val="005D266E"/>
    <w:rsid w:val="005D76B0"/>
    <w:rsid w:val="005D7833"/>
    <w:rsid w:val="005E0EC8"/>
    <w:rsid w:val="005E1821"/>
    <w:rsid w:val="005F01D6"/>
    <w:rsid w:val="005F55F3"/>
    <w:rsid w:val="005F595B"/>
    <w:rsid w:val="006026DE"/>
    <w:rsid w:val="006041B4"/>
    <w:rsid w:val="0060468D"/>
    <w:rsid w:val="00611A59"/>
    <w:rsid w:val="00614404"/>
    <w:rsid w:val="006144D1"/>
    <w:rsid w:val="00614BF9"/>
    <w:rsid w:val="006204D1"/>
    <w:rsid w:val="0062273E"/>
    <w:rsid w:val="006229A7"/>
    <w:rsid w:val="00624C86"/>
    <w:rsid w:val="00646E38"/>
    <w:rsid w:val="006515B5"/>
    <w:rsid w:val="00652CDD"/>
    <w:rsid w:val="00654814"/>
    <w:rsid w:val="0065746B"/>
    <w:rsid w:val="006576F0"/>
    <w:rsid w:val="00660BA6"/>
    <w:rsid w:val="00660D4F"/>
    <w:rsid w:val="0066354E"/>
    <w:rsid w:val="00687524"/>
    <w:rsid w:val="00694332"/>
    <w:rsid w:val="006953C2"/>
    <w:rsid w:val="006A5267"/>
    <w:rsid w:val="006B4CC3"/>
    <w:rsid w:val="006C2470"/>
    <w:rsid w:val="006D03A0"/>
    <w:rsid w:val="006E3F7A"/>
    <w:rsid w:val="007003CE"/>
    <w:rsid w:val="0070075D"/>
    <w:rsid w:val="0070341A"/>
    <w:rsid w:val="007037AE"/>
    <w:rsid w:val="00704E19"/>
    <w:rsid w:val="00710518"/>
    <w:rsid w:val="0071139C"/>
    <w:rsid w:val="00712D2E"/>
    <w:rsid w:val="00723B81"/>
    <w:rsid w:val="00726718"/>
    <w:rsid w:val="00752F47"/>
    <w:rsid w:val="007545E4"/>
    <w:rsid w:val="0076008A"/>
    <w:rsid w:val="007622C2"/>
    <w:rsid w:val="00764C7A"/>
    <w:rsid w:val="00767A82"/>
    <w:rsid w:val="00775C8B"/>
    <w:rsid w:val="007860E6"/>
    <w:rsid w:val="0079260B"/>
    <w:rsid w:val="007A31B4"/>
    <w:rsid w:val="007A5101"/>
    <w:rsid w:val="007B0BF0"/>
    <w:rsid w:val="007B4698"/>
    <w:rsid w:val="007B5590"/>
    <w:rsid w:val="007D08B2"/>
    <w:rsid w:val="007D1749"/>
    <w:rsid w:val="007D2B83"/>
    <w:rsid w:val="007E73F5"/>
    <w:rsid w:val="007F1C0D"/>
    <w:rsid w:val="007F527E"/>
    <w:rsid w:val="0080170E"/>
    <w:rsid w:val="008107FA"/>
    <w:rsid w:val="00813F77"/>
    <w:rsid w:val="00817A39"/>
    <w:rsid w:val="008207F6"/>
    <w:rsid w:val="00824EDE"/>
    <w:rsid w:val="00832801"/>
    <w:rsid w:val="0085042D"/>
    <w:rsid w:val="00853F42"/>
    <w:rsid w:val="00857A3B"/>
    <w:rsid w:val="00865F6D"/>
    <w:rsid w:val="00867BEE"/>
    <w:rsid w:val="00875241"/>
    <w:rsid w:val="00880966"/>
    <w:rsid w:val="0088110B"/>
    <w:rsid w:val="008813D5"/>
    <w:rsid w:val="00891820"/>
    <w:rsid w:val="00893DA1"/>
    <w:rsid w:val="00895640"/>
    <w:rsid w:val="008977CE"/>
    <w:rsid w:val="008A7EB7"/>
    <w:rsid w:val="008B59AE"/>
    <w:rsid w:val="008B6667"/>
    <w:rsid w:val="008C1033"/>
    <w:rsid w:val="008C71B6"/>
    <w:rsid w:val="008E067E"/>
    <w:rsid w:val="008E0E4F"/>
    <w:rsid w:val="008E187C"/>
    <w:rsid w:val="008E4202"/>
    <w:rsid w:val="008F3470"/>
    <w:rsid w:val="008F4995"/>
    <w:rsid w:val="008F5AD2"/>
    <w:rsid w:val="00901893"/>
    <w:rsid w:val="009061D8"/>
    <w:rsid w:val="0090628F"/>
    <w:rsid w:val="009147CD"/>
    <w:rsid w:val="00935E00"/>
    <w:rsid w:val="0093635A"/>
    <w:rsid w:val="0094623A"/>
    <w:rsid w:val="0095297E"/>
    <w:rsid w:val="00953A03"/>
    <w:rsid w:val="0095682A"/>
    <w:rsid w:val="00957A72"/>
    <w:rsid w:val="009719F9"/>
    <w:rsid w:val="00973255"/>
    <w:rsid w:val="009732F5"/>
    <w:rsid w:val="009759C2"/>
    <w:rsid w:val="009812FA"/>
    <w:rsid w:val="00984EF9"/>
    <w:rsid w:val="009859A5"/>
    <w:rsid w:val="00996A94"/>
    <w:rsid w:val="009A0451"/>
    <w:rsid w:val="009B7B2E"/>
    <w:rsid w:val="009C1AFD"/>
    <w:rsid w:val="009C439C"/>
    <w:rsid w:val="009C48EC"/>
    <w:rsid w:val="009C705C"/>
    <w:rsid w:val="009D0000"/>
    <w:rsid w:val="009D0CC5"/>
    <w:rsid w:val="009D5D19"/>
    <w:rsid w:val="009D7F8C"/>
    <w:rsid w:val="009F1994"/>
    <w:rsid w:val="00A01D94"/>
    <w:rsid w:val="00A03AFE"/>
    <w:rsid w:val="00A14272"/>
    <w:rsid w:val="00A14D55"/>
    <w:rsid w:val="00A2211B"/>
    <w:rsid w:val="00A335D6"/>
    <w:rsid w:val="00A43EAE"/>
    <w:rsid w:val="00A532ED"/>
    <w:rsid w:val="00A620EA"/>
    <w:rsid w:val="00A651F6"/>
    <w:rsid w:val="00A70C2C"/>
    <w:rsid w:val="00A735FA"/>
    <w:rsid w:val="00A752DA"/>
    <w:rsid w:val="00A75FBB"/>
    <w:rsid w:val="00A83112"/>
    <w:rsid w:val="00A85AA3"/>
    <w:rsid w:val="00A87CEB"/>
    <w:rsid w:val="00A9052A"/>
    <w:rsid w:val="00A9597F"/>
    <w:rsid w:val="00AA0E78"/>
    <w:rsid w:val="00AA3BD2"/>
    <w:rsid w:val="00AA4E7F"/>
    <w:rsid w:val="00AA5FE6"/>
    <w:rsid w:val="00AB2A86"/>
    <w:rsid w:val="00AB49FD"/>
    <w:rsid w:val="00AB62FB"/>
    <w:rsid w:val="00AB7333"/>
    <w:rsid w:val="00AC5B38"/>
    <w:rsid w:val="00AD3553"/>
    <w:rsid w:val="00AD73F4"/>
    <w:rsid w:val="00AE263D"/>
    <w:rsid w:val="00AE44F2"/>
    <w:rsid w:val="00AF20A2"/>
    <w:rsid w:val="00B11CF5"/>
    <w:rsid w:val="00B12C60"/>
    <w:rsid w:val="00B14706"/>
    <w:rsid w:val="00B227A7"/>
    <w:rsid w:val="00B260F0"/>
    <w:rsid w:val="00B34105"/>
    <w:rsid w:val="00B34255"/>
    <w:rsid w:val="00B43494"/>
    <w:rsid w:val="00B5253B"/>
    <w:rsid w:val="00B94239"/>
    <w:rsid w:val="00BA21E9"/>
    <w:rsid w:val="00BA3E52"/>
    <w:rsid w:val="00BB788B"/>
    <w:rsid w:val="00BC167B"/>
    <w:rsid w:val="00BC7398"/>
    <w:rsid w:val="00BC7D31"/>
    <w:rsid w:val="00BE2E56"/>
    <w:rsid w:val="00BE4E56"/>
    <w:rsid w:val="00BE5206"/>
    <w:rsid w:val="00BF301C"/>
    <w:rsid w:val="00BF5F31"/>
    <w:rsid w:val="00BF6DE1"/>
    <w:rsid w:val="00C01940"/>
    <w:rsid w:val="00C06A8B"/>
    <w:rsid w:val="00C075FB"/>
    <w:rsid w:val="00C11347"/>
    <w:rsid w:val="00C13F1E"/>
    <w:rsid w:val="00C20F67"/>
    <w:rsid w:val="00C23718"/>
    <w:rsid w:val="00C23CC1"/>
    <w:rsid w:val="00C418E4"/>
    <w:rsid w:val="00C465B2"/>
    <w:rsid w:val="00C55F09"/>
    <w:rsid w:val="00C6167E"/>
    <w:rsid w:val="00C61DCB"/>
    <w:rsid w:val="00C75D79"/>
    <w:rsid w:val="00C8088B"/>
    <w:rsid w:val="00C82B7F"/>
    <w:rsid w:val="00C955CC"/>
    <w:rsid w:val="00C96EC2"/>
    <w:rsid w:val="00C975F9"/>
    <w:rsid w:val="00CA128D"/>
    <w:rsid w:val="00CA4F4B"/>
    <w:rsid w:val="00CB099B"/>
    <w:rsid w:val="00CB68BB"/>
    <w:rsid w:val="00CD1D6A"/>
    <w:rsid w:val="00CD38D0"/>
    <w:rsid w:val="00CE242B"/>
    <w:rsid w:val="00CE2D99"/>
    <w:rsid w:val="00CF51AF"/>
    <w:rsid w:val="00CF5357"/>
    <w:rsid w:val="00CF71E9"/>
    <w:rsid w:val="00CF74FE"/>
    <w:rsid w:val="00D0386D"/>
    <w:rsid w:val="00D22D2F"/>
    <w:rsid w:val="00D329E2"/>
    <w:rsid w:val="00D340F8"/>
    <w:rsid w:val="00D420BA"/>
    <w:rsid w:val="00D42485"/>
    <w:rsid w:val="00D45173"/>
    <w:rsid w:val="00D60FE0"/>
    <w:rsid w:val="00D61BEF"/>
    <w:rsid w:val="00D6485A"/>
    <w:rsid w:val="00D64AF3"/>
    <w:rsid w:val="00D751BD"/>
    <w:rsid w:val="00D76D7D"/>
    <w:rsid w:val="00D8345C"/>
    <w:rsid w:val="00D96942"/>
    <w:rsid w:val="00D97279"/>
    <w:rsid w:val="00DA0EF6"/>
    <w:rsid w:val="00DA200B"/>
    <w:rsid w:val="00DB00F7"/>
    <w:rsid w:val="00DB0B78"/>
    <w:rsid w:val="00DC0A1C"/>
    <w:rsid w:val="00DC1991"/>
    <w:rsid w:val="00DC30A7"/>
    <w:rsid w:val="00DC31BB"/>
    <w:rsid w:val="00DC6F26"/>
    <w:rsid w:val="00DC7A83"/>
    <w:rsid w:val="00DD71A1"/>
    <w:rsid w:val="00DD7450"/>
    <w:rsid w:val="00DE4F32"/>
    <w:rsid w:val="00DE5098"/>
    <w:rsid w:val="00E046F1"/>
    <w:rsid w:val="00E15A6C"/>
    <w:rsid w:val="00E173D2"/>
    <w:rsid w:val="00E226BB"/>
    <w:rsid w:val="00E27AE3"/>
    <w:rsid w:val="00E33806"/>
    <w:rsid w:val="00E33A8D"/>
    <w:rsid w:val="00E362AF"/>
    <w:rsid w:val="00E37A0D"/>
    <w:rsid w:val="00E41B0C"/>
    <w:rsid w:val="00E50003"/>
    <w:rsid w:val="00E54FAC"/>
    <w:rsid w:val="00E56651"/>
    <w:rsid w:val="00E64244"/>
    <w:rsid w:val="00E664D9"/>
    <w:rsid w:val="00E73C19"/>
    <w:rsid w:val="00E812F8"/>
    <w:rsid w:val="00E925D9"/>
    <w:rsid w:val="00E93529"/>
    <w:rsid w:val="00E96A1D"/>
    <w:rsid w:val="00EB349B"/>
    <w:rsid w:val="00EC4B7C"/>
    <w:rsid w:val="00EC7F9D"/>
    <w:rsid w:val="00ED00C5"/>
    <w:rsid w:val="00ED48BC"/>
    <w:rsid w:val="00ED66FA"/>
    <w:rsid w:val="00EE3F6C"/>
    <w:rsid w:val="00EE6A6B"/>
    <w:rsid w:val="00EF0B27"/>
    <w:rsid w:val="00EF4EEA"/>
    <w:rsid w:val="00F02636"/>
    <w:rsid w:val="00F06F10"/>
    <w:rsid w:val="00F07F03"/>
    <w:rsid w:val="00F11929"/>
    <w:rsid w:val="00F1230C"/>
    <w:rsid w:val="00F26CC3"/>
    <w:rsid w:val="00F370AB"/>
    <w:rsid w:val="00F4650C"/>
    <w:rsid w:val="00F477AB"/>
    <w:rsid w:val="00F6522E"/>
    <w:rsid w:val="00F76202"/>
    <w:rsid w:val="00F77370"/>
    <w:rsid w:val="00F876EA"/>
    <w:rsid w:val="00FB2EEB"/>
    <w:rsid w:val="00FC10C9"/>
    <w:rsid w:val="00FC180B"/>
    <w:rsid w:val="00FC1D2F"/>
    <w:rsid w:val="00FC3983"/>
    <w:rsid w:val="00FC3F0C"/>
    <w:rsid w:val="00FD035E"/>
    <w:rsid w:val="00FE6B60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E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qFormat/>
    <w:rsid w:val="003D4EE2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4EE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D4EE2"/>
  </w:style>
  <w:style w:type="character" w:customStyle="1" w:styleId="Smbolosdenumerao">
    <w:name w:val="Símbolos de numeração"/>
    <w:rsid w:val="003D4EE2"/>
  </w:style>
  <w:style w:type="paragraph" w:customStyle="1" w:styleId="Ttulo1">
    <w:name w:val="Título1"/>
    <w:basedOn w:val="Normal"/>
    <w:next w:val="Corpodetexto"/>
    <w:rsid w:val="003D4E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3D4EE2"/>
    <w:pPr>
      <w:spacing w:after="120"/>
    </w:pPr>
  </w:style>
  <w:style w:type="paragraph" w:styleId="Ttulo">
    <w:name w:val="Title"/>
    <w:basedOn w:val="Ttulo1"/>
    <w:next w:val="Subttulo"/>
    <w:qFormat/>
    <w:rsid w:val="003D4EE2"/>
  </w:style>
  <w:style w:type="paragraph" w:styleId="Subttulo">
    <w:name w:val="Subtitle"/>
    <w:basedOn w:val="Ttulo1"/>
    <w:next w:val="Corpodetexto"/>
    <w:qFormat/>
    <w:rsid w:val="003D4EE2"/>
    <w:pPr>
      <w:jc w:val="center"/>
    </w:pPr>
    <w:rPr>
      <w:i/>
      <w:iCs/>
    </w:rPr>
  </w:style>
  <w:style w:type="paragraph" w:styleId="Lista">
    <w:name w:val="List"/>
    <w:basedOn w:val="Corpodetexto"/>
    <w:rsid w:val="003D4EE2"/>
  </w:style>
  <w:style w:type="paragraph" w:customStyle="1" w:styleId="Legenda1">
    <w:name w:val="Legenda1"/>
    <w:basedOn w:val="Normal"/>
    <w:rsid w:val="003D4EE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D4EE2"/>
    <w:pPr>
      <w:suppressLineNumbers/>
    </w:pPr>
  </w:style>
  <w:style w:type="paragraph" w:styleId="Recuodecorpodetexto">
    <w:name w:val="Body Text Indent"/>
    <w:basedOn w:val="Normal"/>
    <w:rsid w:val="003D4EE2"/>
    <w:pPr>
      <w:jc w:val="both"/>
    </w:pPr>
    <w:rPr>
      <w:color w:val="000000"/>
      <w:sz w:val="20"/>
      <w:szCs w:val="20"/>
    </w:rPr>
  </w:style>
  <w:style w:type="paragraph" w:customStyle="1" w:styleId="Contedodetabela">
    <w:name w:val="Conteúdo de tabela"/>
    <w:basedOn w:val="Normal"/>
    <w:rsid w:val="003D4EE2"/>
    <w:pPr>
      <w:suppressLineNumbers/>
    </w:pPr>
  </w:style>
  <w:style w:type="paragraph" w:customStyle="1" w:styleId="72Tabelajustificado">
    <w:name w:val="7.2_Tabela justificado*"/>
    <w:rsid w:val="003D4EE2"/>
    <w:pPr>
      <w:suppressAutoHyphens/>
      <w:spacing w:before="28" w:after="28" w:line="276" w:lineRule="auto"/>
    </w:pPr>
    <w:rPr>
      <w:rFonts w:ascii="Arial" w:hAnsi="Arial" w:cs="Arial"/>
      <w:kern w:val="1"/>
      <w:sz w:val="18"/>
      <w:szCs w:val="24"/>
      <w:lang w:eastAsia="ar-SA"/>
    </w:rPr>
  </w:style>
  <w:style w:type="paragraph" w:customStyle="1" w:styleId="42NovaRedao">
    <w:name w:val="4.2_Nova Redação*"/>
    <w:basedOn w:val="Normal"/>
    <w:rsid w:val="003D4EE2"/>
    <w:pPr>
      <w:spacing w:after="120"/>
      <w:ind w:left="1985"/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rsid w:val="003D4EE2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D4EE2"/>
    <w:pPr>
      <w:suppressLineNumbers/>
      <w:tabs>
        <w:tab w:val="center" w:pos="4819"/>
        <w:tab w:val="right" w:pos="9638"/>
      </w:tabs>
    </w:pPr>
  </w:style>
  <w:style w:type="paragraph" w:customStyle="1" w:styleId="41TextoAcordo">
    <w:name w:val="4.1_Texto Acordo*"/>
    <w:rsid w:val="00F477AB"/>
    <w:pPr>
      <w:spacing w:after="120"/>
      <w:ind w:firstLine="1134"/>
      <w:jc w:val="both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540849"/>
    <w:rPr>
      <w:color w:val="0000FF"/>
      <w:u w:val="single"/>
    </w:rPr>
  </w:style>
  <w:style w:type="paragraph" w:customStyle="1" w:styleId="Subtitulo">
    <w:name w:val="Subtitulo*"/>
    <w:rsid w:val="00540849"/>
    <w:pPr>
      <w:suppressAutoHyphens/>
      <w:spacing w:before="60" w:after="60"/>
      <w:jc w:val="center"/>
    </w:pPr>
    <w:rPr>
      <w:rFonts w:ascii="Arial" w:eastAsia="Arial" w:hAnsi="Arial"/>
      <w:b/>
      <w:lang w:eastAsia="ar-SA"/>
    </w:rPr>
  </w:style>
  <w:style w:type="paragraph" w:customStyle="1" w:styleId="Tabelajustificado">
    <w:name w:val="Tabela justificado*"/>
    <w:basedOn w:val="Normal"/>
    <w:rsid w:val="00540849"/>
    <w:pPr>
      <w:widowControl/>
      <w:suppressAutoHyphens w:val="0"/>
      <w:spacing w:before="28" w:after="28"/>
      <w:jc w:val="both"/>
    </w:pPr>
    <w:rPr>
      <w:rFonts w:ascii="Arial" w:eastAsia="Times New Roman" w:hAnsi="Arial" w:cs="Times New Roman"/>
      <w:kern w:val="0"/>
      <w:sz w:val="18"/>
      <w:lang w:eastAsia="ar-SA" w:bidi="ar-SA"/>
    </w:rPr>
  </w:style>
  <w:style w:type="paragraph" w:customStyle="1" w:styleId="TabelaSubtitulo">
    <w:name w:val="Tabela Subtitulo*"/>
    <w:basedOn w:val="Normal"/>
    <w:rsid w:val="00540849"/>
    <w:pPr>
      <w:widowControl/>
      <w:suppressAutoHyphens w:val="0"/>
      <w:spacing w:before="28" w:after="28"/>
      <w:jc w:val="center"/>
    </w:pPr>
    <w:rPr>
      <w:rFonts w:ascii="Arial" w:eastAsia="Times New Roman" w:hAnsi="Arial" w:cs="Times New Roman"/>
      <w:kern w:val="0"/>
      <w:sz w:val="18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8207F6"/>
    <w:rPr>
      <w:rFonts w:eastAsia="Arial Unicode MS" w:cs="Mangal"/>
      <w:kern w:val="1"/>
      <w:sz w:val="24"/>
      <w:szCs w:val="24"/>
      <w:lang w:eastAsia="hi-IN" w:bidi="hi-IN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E3F6C"/>
    <w:rPr>
      <w:rFonts w:ascii="Tahoma" w:hAnsi="Tahoma"/>
      <w:sz w:val="16"/>
      <w:szCs w:val="1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3F6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41textoacordo0">
    <w:name w:val="41textoacordo"/>
    <w:basedOn w:val="Normal"/>
    <w:rsid w:val="00B341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42novaredao0">
    <w:name w:val="42novaredao"/>
    <w:basedOn w:val="Normal"/>
    <w:rsid w:val="009A04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1tabelasubtitulo">
    <w:name w:val="71tabelasubtitulo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2tabelajustificado0">
    <w:name w:val="72tabelajustificado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3tabelaesquerda">
    <w:name w:val="73tabelaesquerda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1tabelasubtitulo">
    <w:name w:val="a71tabelasubtitulo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3tabelaesquerda">
    <w:name w:val="a73tabelaesquerda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E046F1"/>
  </w:style>
  <w:style w:type="paragraph" w:customStyle="1" w:styleId="a41textoacordo">
    <w:name w:val="a41textoacordo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42novaredao">
    <w:name w:val="a42novaredao"/>
    <w:basedOn w:val="Normal"/>
    <w:rsid w:val="00B342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2tabelajustificado">
    <w:name w:val="a72tabelajustificado"/>
    <w:basedOn w:val="Normal"/>
    <w:rsid w:val="00D64A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6subtitulo">
    <w:name w:val="6subtitulo"/>
    <w:basedOn w:val="Normal"/>
    <w:rsid w:val="007545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261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A128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8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E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qFormat/>
    <w:rsid w:val="003D4EE2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4EE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D4EE2"/>
  </w:style>
  <w:style w:type="character" w:customStyle="1" w:styleId="Smbolosdenumerao">
    <w:name w:val="Símbolos de numeração"/>
    <w:rsid w:val="003D4EE2"/>
  </w:style>
  <w:style w:type="paragraph" w:customStyle="1" w:styleId="Ttulo1">
    <w:name w:val="Título1"/>
    <w:basedOn w:val="Normal"/>
    <w:next w:val="Corpodetexto"/>
    <w:rsid w:val="003D4E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3D4EE2"/>
    <w:pPr>
      <w:spacing w:after="120"/>
    </w:pPr>
  </w:style>
  <w:style w:type="paragraph" w:styleId="Ttulo">
    <w:name w:val="Title"/>
    <w:basedOn w:val="Ttulo1"/>
    <w:next w:val="Subttulo"/>
    <w:qFormat/>
    <w:rsid w:val="003D4EE2"/>
  </w:style>
  <w:style w:type="paragraph" w:styleId="Subttulo">
    <w:name w:val="Subtitle"/>
    <w:basedOn w:val="Ttulo1"/>
    <w:next w:val="Corpodetexto"/>
    <w:qFormat/>
    <w:rsid w:val="003D4EE2"/>
    <w:pPr>
      <w:jc w:val="center"/>
    </w:pPr>
    <w:rPr>
      <w:i/>
      <w:iCs/>
    </w:rPr>
  </w:style>
  <w:style w:type="paragraph" w:styleId="Lista">
    <w:name w:val="List"/>
    <w:basedOn w:val="Corpodetexto"/>
    <w:rsid w:val="003D4EE2"/>
  </w:style>
  <w:style w:type="paragraph" w:customStyle="1" w:styleId="Legenda1">
    <w:name w:val="Legenda1"/>
    <w:basedOn w:val="Normal"/>
    <w:rsid w:val="003D4EE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D4EE2"/>
    <w:pPr>
      <w:suppressLineNumbers/>
    </w:pPr>
  </w:style>
  <w:style w:type="paragraph" w:styleId="Recuodecorpodetexto">
    <w:name w:val="Body Text Indent"/>
    <w:basedOn w:val="Normal"/>
    <w:rsid w:val="003D4EE2"/>
    <w:pPr>
      <w:jc w:val="both"/>
    </w:pPr>
    <w:rPr>
      <w:color w:val="000000"/>
      <w:sz w:val="20"/>
      <w:szCs w:val="20"/>
    </w:rPr>
  </w:style>
  <w:style w:type="paragraph" w:customStyle="1" w:styleId="Contedodetabela">
    <w:name w:val="Conteúdo de tabela"/>
    <w:basedOn w:val="Normal"/>
    <w:rsid w:val="003D4EE2"/>
    <w:pPr>
      <w:suppressLineNumbers/>
    </w:pPr>
  </w:style>
  <w:style w:type="paragraph" w:customStyle="1" w:styleId="72Tabelajustificado">
    <w:name w:val="7.2_Tabela justificado*"/>
    <w:rsid w:val="003D4EE2"/>
    <w:pPr>
      <w:suppressAutoHyphens/>
      <w:spacing w:before="28" w:after="28" w:line="276" w:lineRule="auto"/>
    </w:pPr>
    <w:rPr>
      <w:rFonts w:ascii="Arial" w:hAnsi="Arial" w:cs="Arial"/>
      <w:kern w:val="1"/>
      <w:sz w:val="18"/>
      <w:szCs w:val="24"/>
      <w:lang w:eastAsia="ar-SA"/>
    </w:rPr>
  </w:style>
  <w:style w:type="paragraph" w:customStyle="1" w:styleId="42NovaRedao">
    <w:name w:val="4.2_Nova Redação*"/>
    <w:basedOn w:val="Normal"/>
    <w:rsid w:val="003D4EE2"/>
    <w:pPr>
      <w:spacing w:after="120"/>
      <w:ind w:left="1985"/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rsid w:val="003D4EE2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D4EE2"/>
    <w:pPr>
      <w:suppressLineNumbers/>
      <w:tabs>
        <w:tab w:val="center" w:pos="4819"/>
        <w:tab w:val="right" w:pos="9638"/>
      </w:tabs>
    </w:pPr>
  </w:style>
  <w:style w:type="paragraph" w:customStyle="1" w:styleId="41TextoAcordo">
    <w:name w:val="4.1_Texto Acordo*"/>
    <w:rsid w:val="00F477AB"/>
    <w:pPr>
      <w:spacing w:after="120"/>
      <w:ind w:firstLine="1134"/>
      <w:jc w:val="both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540849"/>
    <w:rPr>
      <w:color w:val="0000FF"/>
      <w:u w:val="single"/>
    </w:rPr>
  </w:style>
  <w:style w:type="paragraph" w:customStyle="1" w:styleId="Subtitulo">
    <w:name w:val="Subtitulo*"/>
    <w:rsid w:val="00540849"/>
    <w:pPr>
      <w:suppressAutoHyphens/>
      <w:spacing w:before="60" w:after="60"/>
      <w:jc w:val="center"/>
    </w:pPr>
    <w:rPr>
      <w:rFonts w:ascii="Arial" w:eastAsia="Arial" w:hAnsi="Arial"/>
      <w:b/>
      <w:lang w:eastAsia="ar-SA"/>
    </w:rPr>
  </w:style>
  <w:style w:type="paragraph" w:customStyle="1" w:styleId="Tabelajustificado">
    <w:name w:val="Tabela justificado*"/>
    <w:basedOn w:val="Normal"/>
    <w:rsid w:val="00540849"/>
    <w:pPr>
      <w:widowControl/>
      <w:suppressAutoHyphens w:val="0"/>
      <w:spacing w:before="28" w:after="28"/>
      <w:jc w:val="both"/>
    </w:pPr>
    <w:rPr>
      <w:rFonts w:ascii="Arial" w:eastAsia="Times New Roman" w:hAnsi="Arial" w:cs="Times New Roman"/>
      <w:kern w:val="0"/>
      <w:sz w:val="18"/>
      <w:lang w:eastAsia="ar-SA" w:bidi="ar-SA"/>
    </w:rPr>
  </w:style>
  <w:style w:type="paragraph" w:customStyle="1" w:styleId="TabelaSubtitulo">
    <w:name w:val="Tabela Subtitulo*"/>
    <w:basedOn w:val="Normal"/>
    <w:rsid w:val="00540849"/>
    <w:pPr>
      <w:widowControl/>
      <w:suppressAutoHyphens w:val="0"/>
      <w:spacing w:before="28" w:after="28"/>
      <w:jc w:val="center"/>
    </w:pPr>
    <w:rPr>
      <w:rFonts w:ascii="Arial" w:eastAsia="Times New Roman" w:hAnsi="Arial" w:cs="Times New Roman"/>
      <w:kern w:val="0"/>
      <w:sz w:val="18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8207F6"/>
    <w:rPr>
      <w:rFonts w:eastAsia="Arial Unicode MS" w:cs="Mangal"/>
      <w:kern w:val="1"/>
      <w:sz w:val="24"/>
      <w:szCs w:val="24"/>
      <w:lang w:eastAsia="hi-IN" w:bidi="hi-IN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E3F6C"/>
    <w:rPr>
      <w:rFonts w:ascii="Tahoma" w:hAnsi="Tahoma"/>
      <w:sz w:val="16"/>
      <w:szCs w:val="1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3F6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41textoacordo0">
    <w:name w:val="41textoacordo"/>
    <w:basedOn w:val="Normal"/>
    <w:rsid w:val="00B341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42novaredao0">
    <w:name w:val="42novaredao"/>
    <w:basedOn w:val="Normal"/>
    <w:rsid w:val="009A04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1tabelasubtitulo">
    <w:name w:val="71tabelasubtitulo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2tabelajustificado0">
    <w:name w:val="72tabelajustificado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3tabelaesquerda">
    <w:name w:val="73tabelaesquerda"/>
    <w:basedOn w:val="Normal"/>
    <w:rsid w:val="00587E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1tabelasubtitulo">
    <w:name w:val="a71tabelasubtitulo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3tabelaesquerda">
    <w:name w:val="a73tabelaesquerda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E046F1"/>
  </w:style>
  <w:style w:type="paragraph" w:customStyle="1" w:styleId="a41textoacordo">
    <w:name w:val="a41textoacordo"/>
    <w:basedOn w:val="Normal"/>
    <w:rsid w:val="00E046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42novaredao">
    <w:name w:val="a42novaredao"/>
    <w:basedOn w:val="Normal"/>
    <w:rsid w:val="00B342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a72tabelajustificado">
    <w:name w:val="a72tabelajustificado"/>
    <w:basedOn w:val="Normal"/>
    <w:rsid w:val="00D64A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6subtitulo">
    <w:name w:val="6subtitulo"/>
    <w:basedOn w:val="Normal"/>
    <w:rsid w:val="007545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261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A128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8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fazenda.gov.br/confaz/confaz/Convenios/ICMS/2002/CV054_0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5A74AB-CA0E-42C1-8487-016030D2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6303</Words>
  <Characters>34038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40261</CharactersWithSpaces>
  <SharedDoc>false</SharedDoc>
  <HLinks>
    <vt:vector size="6" baseType="variant">
      <vt:variant>
        <vt:i4>541917237</vt:i4>
      </vt:variant>
      <vt:variant>
        <vt:i4>0</vt:i4>
      </vt:variant>
      <vt:variant>
        <vt:i4>0</vt:i4>
      </vt:variant>
      <vt:variant>
        <vt:i4>5</vt:i4>
      </vt:variant>
      <vt:variant>
        <vt:lpwstr>http://www.fazenda.gov.br/confaz.”(NR)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BRANDÃO</dc:creator>
  <cp:lastModifiedBy>Maria Auxiliadora dos Santos</cp:lastModifiedBy>
  <cp:revision>3</cp:revision>
  <cp:lastPrinted>2013-12-18T15:50:00Z</cp:lastPrinted>
  <dcterms:created xsi:type="dcterms:W3CDTF">2014-01-13T13:10:00Z</dcterms:created>
  <dcterms:modified xsi:type="dcterms:W3CDTF">2014-01-15T14:20:00Z</dcterms:modified>
</cp:coreProperties>
</file>