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5AB6">
      <w:pPr>
        <w:framePr w:h="1584" w:hSpace="36" w:wrap="notBeside" w:vAnchor="text" w:hAnchor="margin" w:x="-1900" w:y="1"/>
        <w:rPr>
          <w:rFonts w:ascii="Arial" w:hAnsi="Arial" w:cs="Arial"/>
          <w:sz w:val="24"/>
          <w:szCs w:val="24"/>
        </w:rPr>
      </w:pPr>
    </w:p>
    <w:p w:rsidR="00000000" w:rsidRPr="009D5AB6" w:rsidRDefault="009D5AB6">
      <w:pPr>
        <w:shd w:val="clear" w:color="auto" w:fill="FFFFFF"/>
        <w:spacing w:before="216" w:after="907"/>
        <w:ind w:right="22"/>
        <w:jc w:val="center"/>
        <w:rPr>
          <w:sz w:val="24"/>
          <w:szCs w:val="24"/>
        </w:rPr>
        <w:sectPr w:rsidR="00000000" w:rsidRPr="009D5AB6">
          <w:type w:val="continuous"/>
          <w:pgSz w:w="12506" w:h="19282"/>
          <w:pgMar w:top="1440" w:right="3319" w:bottom="360" w:left="4334" w:header="720" w:footer="720" w:gutter="0"/>
          <w:cols w:space="60"/>
          <w:noEndnote/>
        </w:sectPr>
      </w:pPr>
      <w:r w:rsidRPr="009D5AB6">
        <w:rPr>
          <w:sz w:val="24"/>
          <w:szCs w:val="24"/>
        </w:rPr>
        <w:lastRenderedPageBreak/>
        <w:t>DECRETO Nº1151DE 17DEMAIO DE 1983</w:t>
      </w:r>
    </w:p>
    <w:p w:rsidR="00000000" w:rsidRDefault="009D5AB6">
      <w:pPr>
        <w:shd w:val="clear" w:color="auto" w:fill="FFFFFF"/>
        <w:spacing w:before="43"/>
        <w:sectPr w:rsidR="00000000">
          <w:type w:val="continuous"/>
          <w:pgSz w:w="12506" w:h="19282"/>
          <w:pgMar w:top="1440" w:right="1728" w:bottom="360" w:left="2412" w:header="720" w:footer="720" w:gutter="0"/>
          <w:cols w:num="3" w:space="720" w:equalWidth="0">
            <w:col w:w="2361" w:space="1980"/>
            <w:col w:w="2224" w:space="835"/>
            <w:col w:w="964"/>
          </w:cols>
          <w:noEndnote/>
        </w:sectPr>
      </w:pPr>
    </w:p>
    <w:p w:rsidR="00000000" w:rsidRDefault="009D5AB6">
      <w:pPr>
        <w:shd w:val="clear" w:color="auto" w:fill="FFFFFF"/>
        <w:spacing w:before="2542" w:line="353" w:lineRule="exact"/>
        <w:ind w:left="14" w:right="22" w:firstLine="2189"/>
        <w:jc w:val="both"/>
      </w:pPr>
      <w:r>
        <w:rPr>
          <w:color w:val="000000"/>
          <w:sz w:val="22"/>
          <w:szCs w:val="22"/>
        </w:rPr>
        <w:t>0 GOVERNADOR DO ESTADO DE RONDÔNIA</w:t>
      </w:r>
      <w:bookmarkStart w:id="0" w:name="_GoBack"/>
      <w:bookmarkEnd w:id="0"/>
      <w:r>
        <w:rPr>
          <w:color w:val="000000"/>
          <w:sz w:val="22"/>
          <w:szCs w:val="22"/>
        </w:rPr>
        <w:t xml:space="preserve"> usando das </w:t>
      </w:r>
      <w:r>
        <w:rPr>
          <w:color w:val="000000"/>
          <w:spacing w:val="15"/>
          <w:sz w:val="22"/>
          <w:szCs w:val="22"/>
        </w:rPr>
        <w:t>atribuições</w:t>
      </w:r>
      <w:r>
        <w:rPr>
          <w:color w:val="000000"/>
          <w:sz w:val="22"/>
          <w:szCs w:val="22"/>
        </w:rPr>
        <w:t xml:space="preserve"> que lhe </w:t>
      </w:r>
      <w:r>
        <w:rPr>
          <w:color w:val="000000"/>
          <w:spacing w:val="18"/>
          <w:sz w:val="22"/>
          <w:szCs w:val="22"/>
        </w:rPr>
        <w:t>confere</w:t>
      </w:r>
      <w:r>
        <w:rPr>
          <w:color w:val="000000"/>
          <w:sz w:val="22"/>
          <w:szCs w:val="22"/>
        </w:rPr>
        <w:t xml:space="preserve"> a Lei Complementar n° 041, de 22 de dezembro de 1981, </w:t>
      </w:r>
      <w:r>
        <w:rPr>
          <w:color w:val="000000"/>
          <w:spacing w:val="264"/>
          <w:sz w:val="22"/>
          <w:szCs w:val="22"/>
        </w:rPr>
        <w:t>RESOLVE:</w:t>
      </w:r>
    </w:p>
    <w:p w:rsidR="00000000" w:rsidRDefault="009D5AB6">
      <w:pPr>
        <w:shd w:val="clear" w:color="auto" w:fill="FFFFFF"/>
        <w:spacing w:before="2542" w:line="353" w:lineRule="exact"/>
        <w:ind w:left="14" w:right="22" w:firstLine="2189"/>
        <w:jc w:val="both"/>
        <w:sectPr w:rsidR="00000000">
          <w:type w:val="continuous"/>
          <w:pgSz w:w="12506" w:h="19282"/>
          <w:pgMar w:top="1440" w:right="1440" w:bottom="360" w:left="2383" w:header="720" w:footer="720" w:gutter="0"/>
          <w:cols w:space="60"/>
          <w:noEndnote/>
        </w:sectPr>
      </w:pPr>
    </w:p>
    <w:p w:rsidR="00000000" w:rsidRDefault="009D5AB6">
      <w:pPr>
        <w:framePr w:w="3722" w:h="958" w:hRule="exact" w:hSpace="36" w:wrap="notBeside" w:vAnchor="text" w:hAnchor="text" w:x="3637" w:y="5847"/>
        <w:shd w:val="clear" w:color="auto" w:fill="FFFFFF"/>
        <w:spacing w:line="475" w:lineRule="exact"/>
        <w:ind w:left="1289" w:hanging="1289"/>
      </w:pPr>
      <w:r>
        <w:rPr>
          <w:color w:val="000000"/>
          <w:sz w:val="22"/>
          <w:szCs w:val="22"/>
        </w:rPr>
        <w:t xml:space="preserve">Jorge </w:t>
      </w:r>
      <w:r>
        <w:rPr>
          <w:color w:val="000000"/>
          <w:spacing w:val="14"/>
          <w:sz w:val="22"/>
          <w:szCs w:val="22"/>
        </w:rPr>
        <w:t>Teixeira</w:t>
      </w:r>
      <w:r>
        <w:rPr>
          <w:color w:val="000000"/>
          <w:sz w:val="22"/>
          <w:szCs w:val="22"/>
        </w:rPr>
        <w:t xml:space="preserve"> de Oliveira Governador</w:t>
      </w:r>
    </w:p>
    <w:p w:rsidR="009D5AB6" w:rsidRDefault="009D5AB6">
      <w:pPr>
        <w:shd w:val="clear" w:color="auto" w:fill="FFFFFF"/>
        <w:spacing w:before="1476" w:line="482" w:lineRule="exact"/>
        <w:ind w:firstLine="2023"/>
        <w:jc w:val="both"/>
      </w:pPr>
      <w:r>
        <w:rPr>
          <w:color w:val="000000"/>
          <w:sz w:val="22"/>
          <w:szCs w:val="22"/>
        </w:rPr>
        <w:lastRenderedPageBreak/>
        <w:t xml:space="preserve">Conceder </w:t>
      </w:r>
      <w:r>
        <w:rPr>
          <w:color w:val="000000"/>
          <w:spacing w:val="19"/>
          <w:sz w:val="22"/>
          <w:szCs w:val="22"/>
        </w:rPr>
        <w:t>afastamento</w:t>
      </w:r>
      <w:r>
        <w:rPr>
          <w:color w:val="000000"/>
          <w:sz w:val="22"/>
          <w:szCs w:val="22"/>
        </w:rPr>
        <w:t xml:space="preserve"> aos </w:t>
      </w:r>
      <w:r>
        <w:rPr>
          <w:color w:val="000000"/>
          <w:spacing w:val="15"/>
          <w:sz w:val="22"/>
          <w:szCs w:val="22"/>
        </w:rPr>
        <w:t>servidores</w:t>
      </w:r>
      <w:r>
        <w:rPr>
          <w:color w:val="000000"/>
          <w:sz w:val="22"/>
          <w:szCs w:val="22"/>
        </w:rPr>
        <w:t xml:space="preserve"> TE0BALD0 DE MONTICELLO PINTO VIANA, </w:t>
      </w:r>
      <w:r>
        <w:rPr>
          <w:color w:val="000000"/>
          <w:spacing w:val="18"/>
          <w:sz w:val="22"/>
          <w:szCs w:val="22"/>
        </w:rPr>
        <w:t>Secretário</w:t>
      </w:r>
      <w:r>
        <w:rPr>
          <w:color w:val="000000"/>
          <w:sz w:val="22"/>
          <w:szCs w:val="22"/>
        </w:rPr>
        <w:t xml:space="preserve"> de </w:t>
      </w:r>
      <w:r>
        <w:rPr>
          <w:color w:val="000000"/>
          <w:spacing w:val="18"/>
          <w:sz w:val="22"/>
          <w:szCs w:val="22"/>
        </w:rPr>
        <w:t>Estado</w:t>
      </w:r>
      <w:r>
        <w:rPr>
          <w:color w:val="000000"/>
          <w:sz w:val="22"/>
          <w:szCs w:val="22"/>
        </w:rPr>
        <w:t xml:space="preserve"> da Adminis</w:t>
      </w:r>
      <w:r>
        <w:rPr>
          <w:color w:val="000000"/>
          <w:sz w:val="22"/>
          <w:szCs w:val="22"/>
        </w:rPr>
        <w:t xml:space="preserve">tração, </w:t>
      </w:r>
      <w:r>
        <w:rPr>
          <w:color w:val="000000"/>
          <w:spacing w:val="23"/>
          <w:sz w:val="22"/>
          <w:szCs w:val="22"/>
        </w:rPr>
        <w:t>cadastro</w:t>
      </w:r>
      <w:r>
        <w:rPr>
          <w:color w:val="000000"/>
          <w:sz w:val="22"/>
          <w:szCs w:val="22"/>
        </w:rPr>
        <w:t xml:space="preserve"> nº</w:t>
      </w:r>
      <w:r>
        <w:rPr>
          <w:color w:val="000000"/>
          <w:sz w:val="22"/>
          <w:szCs w:val="22"/>
        </w:rPr>
        <w:t xml:space="preserve"> 01.323 e MARIA GILZA DE MEDEIROS, </w:t>
      </w:r>
      <w:r>
        <w:rPr>
          <w:color w:val="000000"/>
          <w:spacing w:val="14"/>
          <w:sz w:val="22"/>
          <w:szCs w:val="22"/>
        </w:rPr>
        <w:t>cadas</w:t>
      </w:r>
      <w:r>
        <w:rPr>
          <w:color w:val="000000"/>
          <w:sz w:val="22"/>
          <w:szCs w:val="22"/>
        </w:rPr>
        <w:t>tro nº</w:t>
      </w:r>
      <w:r>
        <w:rPr>
          <w:color w:val="000000"/>
          <w:sz w:val="22"/>
          <w:szCs w:val="22"/>
        </w:rPr>
        <w:t xml:space="preserve"> 25.490, para </w:t>
      </w:r>
      <w:r>
        <w:rPr>
          <w:color w:val="000000"/>
          <w:spacing w:val="16"/>
          <w:sz w:val="22"/>
          <w:szCs w:val="22"/>
        </w:rPr>
        <w:t>deslocarem-se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1"/>
          <w:sz w:val="22"/>
          <w:szCs w:val="22"/>
        </w:rPr>
        <w:t>até</w:t>
      </w:r>
      <w:r>
        <w:rPr>
          <w:color w:val="000000"/>
          <w:sz w:val="22"/>
          <w:szCs w:val="22"/>
        </w:rPr>
        <w:t xml:space="preserve"> as </w:t>
      </w:r>
      <w:r>
        <w:rPr>
          <w:color w:val="000000"/>
          <w:spacing w:val="23"/>
          <w:sz w:val="22"/>
          <w:szCs w:val="22"/>
        </w:rPr>
        <w:t>cidades</w:t>
      </w:r>
      <w:r>
        <w:rPr>
          <w:color w:val="000000"/>
          <w:sz w:val="22"/>
          <w:szCs w:val="22"/>
        </w:rPr>
        <w:t xml:space="preserve"> de São Paulo</w:t>
      </w:r>
      <w:r>
        <w:rPr>
          <w:color w:val="000000"/>
          <w:sz w:val="22"/>
          <w:szCs w:val="22"/>
        </w:rPr>
        <w:t xml:space="preserve">-SP e Rio de Janeiro-RJ, a </w:t>
      </w:r>
      <w:r>
        <w:rPr>
          <w:color w:val="000000"/>
          <w:spacing w:val="11"/>
          <w:sz w:val="22"/>
          <w:szCs w:val="22"/>
        </w:rPr>
        <w:t>fim</w:t>
      </w:r>
      <w:r>
        <w:rPr>
          <w:color w:val="000000"/>
          <w:sz w:val="22"/>
          <w:szCs w:val="22"/>
        </w:rPr>
        <w:t xml:space="preserve"> de fazerem </w:t>
      </w:r>
      <w:r>
        <w:rPr>
          <w:color w:val="000000"/>
          <w:spacing w:val="24"/>
          <w:sz w:val="22"/>
          <w:szCs w:val="22"/>
        </w:rPr>
        <w:t>pesquisa</w:t>
      </w:r>
      <w:r>
        <w:rPr>
          <w:color w:val="000000"/>
          <w:sz w:val="22"/>
          <w:szCs w:val="22"/>
        </w:rPr>
        <w:t xml:space="preserve"> e ava</w:t>
      </w:r>
      <w:r>
        <w:rPr>
          <w:color w:val="000000"/>
          <w:spacing w:val="10"/>
          <w:sz w:val="22"/>
          <w:szCs w:val="22"/>
        </w:rPr>
        <w:t>liação</w:t>
      </w:r>
      <w:r>
        <w:rPr>
          <w:color w:val="000000"/>
          <w:sz w:val="22"/>
          <w:szCs w:val="22"/>
        </w:rPr>
        <w:t xml:space="preserve"> de SOFTWARE - Programação de Micro </w:t>
      </w:r>
      <w:r>
        <w:rPr>
          <w:color w:val="000000"/>
          <w:spacing w:val="20"/>
          <w:sz w:val="22"/>
          <w:szCs w:val="22"/>
        </w:rPr>
        <w:t>Computadores,</w:t>
      </w:r>
      <w:r>
        <w:rPr>
          <w:color w:val="000000"/>
          <w:sz w:val="22"/>
          <w:szCs w:val="22"/>
        </w:rPr>
        <w:t xml:space="preserve"> dirigido</w:t>
      </w:r>
      <w:r>
        <w:rPr>
          <w:color w:val="000000"/>
          <w:sz w:val="22"/>
          <w:szCs w:val="22"/>
        </w:rPr>
        <w:t xml:space="preserve"> â á</w:t>
      </w:r>
      <w:r>
        <w:rPr>
          <w:color w:val="000000"/>
          <w:sz w:val="22"/>
          <w:szCs w:val="22"/>
        </w:rPr>
        <w:t xml:space="preserve">rea de Recursos Humanos, no </w:t>
      </w:r>
      <w:r>
        <w:rPr>
          <w:color w:val="000000"/>
          <w:spacing w:val="19"/>
          <w:sz w:val="22"/>
          <w:szCs w:val="22"/>
        </w:rPr>
        <w:t>período</w:t>
      </w:r>
      <w:r>
        <w:rPr>
          <w:color w:val="000000"/>
          <w:sz w:val="22"/>
          <w:szCs w:val="22"/>
        </w:rPr>
        <w:t xml:space="preserve"> de 23 a 28/5/83.</w:t>
      </w:r>
    </w:p>
    <w:sectPr w:rsidR="009D5AB6">
      <w:type w:val="continuous"/>
      <w:pgSz w:w="12506" w:h="19282"/>
      <w:pgMar w:top="1440" w:right="1440" w:bottom="360" w:left="23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6"/>
    <w:rsid w:val="009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23F371B-85EB-4765-B69D-18335FF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1</cp:revision>
  <dcterms:created xsi:type="dcterms:W3CDTF">2016-02-12T15:00:00Z</dcterms:created>
  <dcterms:modified xsi:type="dcterms:W3CDTF">2016-02-12T15:09:00Z</dcterms:modified>
</cp:coreProperties>
</file>